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9" w:type="dxa"/>
        <w:tblInd w:w="-27" w:type="dxa"/>
        <w:tblLayout w:type="fixed"/>
        <w:tblLook w:val="0400" w:firstRow="0" w:lastRow="0" w:firstColumn="0" w:lastColumn="0" w:noHBand="0" w:noVBand="1"/>
      </w:tblPr>
      <w:tblGrid>
        <w:gridCol w:w="5048"/>
        <w:gridCol w:w="716"/>
        <w:gridCol w:w="3825"/>
      </w:tblGrid>
      <w:tr w:rsidR="003D4261">
        <w:trPr>
          <w:trHeight w:val="3330"/>
        </w:trPr>
        <w:tc>
          <w:tcPr>
            <w:tcW w:w="5048" w:type="dxa"/>
          </w:tcPr>
          <w:p w:rsidR="003D4261" w:rsidRDefault="00495539">
            <w:r>
              <w:rPr>
                <w:b/>
              </w:rPr>
              <w:t>Лот:</w:t>
            </w:r>
            <w:r>
              <w:t xml:space="preserve"> </w:t>
            </w:r>
            <w:r>
              <w:rPr>
                <w:b/>
              </w:rPr>
              <w:t>Оказание услуг по разработке комплектов ОРД и НМД в соответствии с требованиями ФЗ-152 и подзаконных актов</w:t>
            </w:r>
          </w:p>
          <w:p w:rsidR="003D4261" w:rsidRDefault="003D4261"/>
          <w:p w:rsidR="003D4261" w:rsidRPr="007A1FBB" w:rsidRDefault="007A1FBB">
            <w:r>
              <w:rPr>
                <w:lang w:val="en-US"/>
              </w:rPr>
              <w:t>ID</w:t>
            </w:r>
            <w:r>
              <w:t>: 062-0009966</w:t>
            </w:r>
          </w:p>
        </w:tc>
        <w:tc>
          <w:tcPr>
            <w:tcW w:w="716" w:type="dxa"/>
          </w:tcPr>
          <w:p w:rsidR="003D4261" w:rsidRDefault="003D4261">
            <w:pPr>
              <w:jc w:val="center"/>
            </w:pPr>
          </w:p>
        </w:tc>
        <w:tc>
          <w:tcPr>
            <w:tcW w:w="3825" w:type="dxa"/>
          </w:tcPr>
          <w:p w:rsidR="003D4261" w:rsidRDefault="00495539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3D4261" w:rsidRDefault="00495539">
            <w:pPr>
              <w:shd w:val="clear" w:color="auto" w:fill="FFFFFF"/>
              <w:tabs>
                <w:tab w:val="left" w:pos="301"/>
              </w:tabs>
              <w:jc w:val="both"/>
            </w:pPr>
            <w:r>
              <w:t>Директор департамента</w:t>
            </w:r>
          </w:p>
          <w:p w:rsidR="003D4261" w:rsidRDefault="00495539">
            <w:pPr>
              <w:shd w:val="clear" w:color="auto" w:fill="FFFFFF"/>
              <w:tabs>
                <w:tab w:val="left" w:pos="301"/>
              </w:tabs>
              <w:jc w:val="both"/>
              <w:rPr>
                <w:b/>
              </w:rPr>
            </w:pPr>
            <w:r>
              <w:t>информационной безопасности</w:t>
            </w:r>
          </w:p>
          <w:p w:rsidR="003D4261" w:rsidRDefault="00495539">
            <w:pPr>
              <w:shd w:val="clear" w:color="auto" w:fill="FFFFFF"/>
              <w:spacing w:before="160"/>
              <w:rPr>
                <w:b/>
              </w:rPr>
            </w:pPr>
            <w:r>
              <w:rPr>
                <w:b/>
              </w:rPr>
              <w:t xml:space="preserve">___________ </w:t>
            </w:r>
            <w:proofErr w:type="spellStart"/>
            <w:r>
              <w:rPr>
                <w:b/>
              </w:rPr>
              <w:t>В.А.Краснокутский</w:t>
            </w:r>
            <w:proofErr w:type="spellEnd"/>
          </w:p>
          <w:p w:rsidR="003D4261" w:rsidRDefault="00495539">
            <w:pPr>
              <w:rPr>
                <w:b/>
              </w:rPr>
            </w:pPr>
            <w:r>
              <w:rPr>
                <w:b/>
              </w:rPr>
              <w:t>«____» ________________ 202</w:t>
            </w:r>
            <w:r w:rsidR="00601CBB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  <w:p w:rsidR="003D4261" w:rsidRDefault="003D4261"/>
          <w:p w:rsidR="003D4261" w:rsidRDefault="003D4261"/>
        </w:tc>
      </w:tr>
    </w:tbl>
    <w:p w:rsidR="003D4261" w:rsidRDefault="003D4261">
      <w:pPr>
        <w:ind w:firstLine="567"/>
      </w:pPr>
    </w:p>
    <w:p w:rsidR="003D4261" w:rsidRDefault="003D4261">
      <w:pPr>
        <w:ind w:firstLine="567"/>
      </w:pPr>
    </w:p>
    <w:p w:rsidR="003D4261" w:rsidRDefault="003D4261">
      <w:pPr>
        <w:ind w:firstLine="567"/>
      </w:pPr>
    </w:p>
    <w:p w:rsidR="003D4261" w:rsidRDefault="003D4261">
      <w:pPr>
        <w:ind w:firstLine="567"/>
      </w:pPr>
    </w:p>
    <w:p w:rsidR="003D4261" w:rsidRDefault="003D4261">
      <w:pPr>
        <w:ind w:firstLine="567"/>
      </w:pPr>
    </w:p>
    <w:p w:rsidR="003D4261" w:rsidRDefault="003D4261">
      <w:pPr>
        <w:ind w:firstLine="567"/>
      </w:pPr>
    </w:p>
    <w:p w:rsidR="003D4261" w:rsidRDefault="003D4261">
      <w:pPr>
        <w:ind w:firstLine="567"/>
      </w:pPr>
    </w:p>
    <w:p w:rsidR="003D4261" w:rsidRDefault="003D4261">
      <w:pPr>
        <w:ind w:firstLine="567"/>
      </w:pPr>
    </w:p>
    <w:p w:rsidR="003D4261" w:rsidRDefault="003D4261">
      <w:pPr>
        <w:ind w:firstLine="567"/>
      </w:pPr>
    </w:p>
    <w:p w:rsidR="003D4261" w:rsidRDefault="003D4261">
      <w:pPr>
        <w:ind w:firstLine="567"/>
      </w:pPr>
    </w:p>
    <w:p w:rsidR="003D4261" w:rsidRDefault="00495539">
      <w:pPr>
        <w:shd w:val="clear" w:color="auto" w:fill="FFFFFF"/>
        <w:ind w:firstLine="567"/>
        <w:jc w:val="center"/>
        <w:rPr>
          <w:b/>
        </w:rPr>
      </w:pPr>
      <w:r>
        <w:rPr>
          <w:b/>
        </w:rPr>
        <w:t>ТЕХНИЧЕСКОЕ ЗАДАНИЕ</w:t>
      </w:r>
    </w:p>
    <w:p w:rsidR="003D4261" w:rsidRDefault="003D4261">
      <w:pPr>
        <w:shd w:val="clear" w:color="auto" w:fill="FFFFFF"/>
      </w:pPr>
    </w:p>
    <w:p w:rsidR="003D4261" w:rsidRDefault="0049553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418"/>
        </w:tabs>
        <w:ind w:firstLine="567"/>
        <w:jc w:val="center"/>
        <w:rPr>
          <w:b/>
        </w:rPr>
      </w:pPr>
      <w:r>
        <w:rPr>
          <w:b/>
        </w:rPr>
        <w:t>«Оказание услуг по разработке комплектов ОРД и НМД в соответствии с требованиями ФЗ-152</w:t>
      </w:r>
      <w:r w:rsidR="007A1FBB">
        <w:rPr>
          <w:b/>
        </w:rPr>
        <w:t xml:space="preserve"> </w:t>
      </w:r>
      <w:r>
        <w:rPr>
          <w:b/>
        </w:rPr>
        <w:t>и подзаконных актов»</w:t>
      </w:r>
    </w:p>
    <w:p w:rsidR="003D4261" w:rsidRDefault="00495539">
      <w:pPr>
        <w:spacing w:after="200"/>
        <w:ind w:firstLine="567"/>
        <w:rPr>
          <w:b/>
        </w:rPr>
      </w:pPr>
      <w:r>
        <w:rPr>
          <w:b/>
        </w:rPr>
        <w:br w:type="page" w:clear="all"/>
      </w:r>
    </w:p>
    <w:p w:rsidR="003D4261" w:rsidRDefault="00495539">
      <w:pPr>
        <w:pStyle w:val="1"/>
        <w:keepNext w:val="0"/>
        <w:keepLines w:val="0"/>
      </w:pPr>
      <w:r>
        <w:lastRenderedPageBreak/>
        <w:t>Основание для оказания услуг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bookmarkStart w:id="0" w:name="_Hlk110431675"/>
      <w:r>
        <w:rPr>
          <w:b w:val="0"/>
          <w:bCs w:val="0"/>
        </w:rPr>
        <w:t>Бизнес-план Общества на 2026 – 2027 гг.</w:t>
      </w:r>
    </w:p>
    <w:bookmarkEnd w:id="0"/>
    <w:p w:rsidR="003D4261" w:rsidRDefault="003D4261"/>
    <w:p w:rsidR="003D4261" w:rsidRDefault="00495539">
      <w:pPr>
        <w:pStyle w:val="1"/>
        <w:keepNext w:val="0"/>
        <w:keepLines w:val="0"/>
      </w:pPr>
      <w:r>
        <w:t>Заказчик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ПАО «</w:t>
      </w:r>
      <w:proofErr w:type="spellStart"/>
      <w:r>
        <w:rPr>
          <w:b w:val="0"/>
          <w:bCs w:val="0"/>
        </w:rPr>
        <w:t>Россети</w:t>
      </w:r>
      <w:proofErr w:type="spellEnd"/>
      <w:r>
        <w:rPr>
          <w:b w:val="0"/>
          <w:bCs w:val="0"/>
        </w:rPr>
        <w:t xml:space="preserve"> Московский регион» (далее – Общество).</w:t>
      </w:r>
    </w:p>
    <w:p w:rsidR="003D4261" w:rsidRDefault="003D4261"/>
    <w:p w:rsidR="003D4261" w:rsidRDefault="00495539">
      <w:pPr>
        <w:pStyle w:val="1"/>
        <w:keepLines w:val="0"/>
        <w:ind w:left="924" w:hanging="357"/>
      </w:pPr>
      <w:r>
        <w:t>Цели и задачи оказания услуг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bookmarkStart w:id="1" w:name="_Hlk110431658"/>
      <w:r>
        <w:rPr>
          <w:b w:val="0"/>
          <w:bCs w:val="0"/>
        </w:rPr>
        <w:t>Р</w:t>
      </w:r>
      <w:r>
        <w:rPr>
          <w:rFonts w:eastAsia="Calibri"/>
          <w:b w:val="0"/>
          <w:bCs w:val="0"/>
          <w:color w:val="000000"/>
          <w:lang w:eastAsia="en-US"/>
        </w:rPr>
        <w:t xml:space="preserve">азработка </w:t>
      </w:r>
      <w:r>
        <w:rPr>
          <w:rFonts w:eastAsia="Calibri"/>
          <w:b w:val="0"/>
          <w:bCs w:val="0"/>
          <w:lang w:eastAsia="en-US"/>
        </w:rPr>
        <w:t xml:space="preserve">документов лота обусловлена необходимостью обеспечения требований действующего Законодательства с учетом результатов классификации и категорирования информационных </w:t>
      </w:r>
      <w:r>
        <w:rPr>
          <w:rFonts w:eastAsia="Calibri"/>
          <w:b w:val="0"/>
          <w:bCs w:val="0"/>
          <w:color w:val="000000"/>
          <w:lang w:eastAsia="en-US"/>
        </w:rPr>
        <w:t>ресурсов (информационных и автоматизированных систем) ПАО «</w:t>
      </w:r>
      <w:proofErr w:type="spellStart"/>
      <w:r>
        <w:rPr>
          <w:rFonts w:eastAsia="Calibri"/>
          <w:b w:val="0"/>
          <w:bCs w:val="0"/>
          <w:color w:val="000000"/>
          <w:lang w:eastAsia="en-US"/>
        </w:rPr>
        <w:t>Россети</w:t>
      </w:r>
      <w:proofErr w:type="spellEnd"/>
      <w:r>
        <w:rPr>
          <w:rFonts w:eastAsia="Calibri"/>
          <w:b w:val="0"/>
          <w:bCs w:val="0"/>
          <w:color w:val="000000"/>
          <w:lang w:eastAsia="en-US"/>
        </w:rPr>
        <w:t xml:space="preserve"> Московский регион»</w:t>
      </w:r>
      <w:r>
        <w:rPr>
          <w:b w:val="0"/>
          <w:bCs w:val="0"/>
        </w:rPr>
        <w:t>.</w:t>
      </w:r>
    </w:p>
    <w:bookmarkEnd w:id="1"/>
    <w:p w:rsidR="003D4261" w:rsidRDefault="003D4261"/>
    <w:p w:rsidR="003D4261" w:rsidRDefault="00495539">
      <w:pPr>
        <w:pStyle w:val="1"/>
        <w:keepNext w:val="0"/>
        <w:keepLines w:val="0"/>
      </w:pPr>
      <w:r>
        <w:t>Общие требования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В рамках оказания услуг должны быть проведены следующие мероприятия: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567" w:firstLine="0"/>
        <w:jc w:val="both"/>
        <w:rPr>
          <w:b w:val="0"/>
          <w:bCs w:val="0"/>
        </w:rPr>
      </w:pPr>
      <w:r>
        <w:rPr>
          <w:b w:val="0"/>
          <w:bCs w:val="0"/>
        </w:rPr>
        <w:t>проведено обследование бизнес-процессов Заказчика (актуальный состав и описание групп процессов (процессов управления, основных процессов, обеспечивающих и вспомогательных), а также обеспечивающих их автоматизацию информационных активов Общества предоставляет Заказчик);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567" w:firstLine="0"/>
        <w:jc w:val="both"/>
        <w:rPr>
          <w:b w:val="0"/>
          <w:bCs w:val="0"/>
        </w:rPr>
      </w:pPr>
      <w:r>
        <w:rPr>
          <w:b w:val="0"/>
          <w:bCs w:val="0"/>
        </w:rPr>
        <w:t>проведён анализ существующего состава локальных правовых актов (ЛПА) Заказчика;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567" w:firstLine="0"/>
        <w:jc w:val="both"/>
        <w:rPr>
          <w:b w:val="0"/>
          <w:bCs w:val="0"/>
        </w:rPr>
      </w:pPr>
      <w:r>
        <w:rPr>
          <w:b w:val="0"/>
          <w:bCs w:val="0"/>
        </w:rPr>
        <w:t>определен состав нормативных правовых актов (НПА), требования и положения которых должны быть отражены в разрабатываемых проектах ОРД и НМД;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567" w:firstLine="0"/>
        <w:jc w:val="both"/>
        <w:rPr>
          <w:b w:val="0"/>
          <w:bCs w:val="0"/>
        </w:rPr>
      </w:pPr>
      <w:r>
        <w:rPr>
          <w:b w:val="0"/>
          <w:bCs w:val="0"/>
        </w:rPr>
        <w:t>должны быть разработаны (или актуализированы существующие) проекты организационно-распорядительной документации включая:</w:t>
      </w:r>
    </w:p>
    <w:p w:rsidR="003D4261" w:rsidRDefault="00495539">
      <w:pPr>
        <w:pStyle w:val="1"/>
        <w:keepNext w:val="0"/>
        <w:keepLines w:val="0"/>
        <w:numPr>
          <w:ilvl w:val="0"/>
          <w:numId w:val="14"/>
        </w:numPr>
        <w:spacing w:before="0" w:after="0"/>
        <w:ind w:left="1843"/>
        <w:jc w:val="both"/>
        <w:rPr>
          <w:b w:val="0"/>
          <w:bCs w:val="0"/>
        </w:rPr>
      </w:pPr>
      <w:bookmarkStart w:id="2" w:name="_Hlk209790206"/>
      <w:r>
        <w:rPr>
          <w:b w:val="0"/>
          <w:bCs w:val="0"/>
        </w:rPr>
        <w:t xml:space="preserve">политику в отношении обработки персональных данных (далее – также </w:t>
      </w:r>
      <w:proofErr w:type="spellStart"/>
      <w:r>
        <w:rPr>
          <w:b w:val="0"/>
          <w:bCs w:val="0"/>
        </w:rPr>
        <w:t>ПДн</w:t>
      </w:r>
      <w:proofErr w:type="spellEnd"/>
      <w:r>
        <w:rPr>
          <w:b w:val="0"/>
          <w:bCs w:val="0"/>
        </w:rPr>
        <w:t>);</w:t>
      </w:r>
    </w:p>
    <w:p w:rsidR="003D4261" w:rsidRDefault="00495539">
      <w:pPr>
        <w:pStyle w:val="1"/>
        <w:keepNext w:val="0"/>
        <w:keepLines w:val="0"/>
        <w:numPr>
          <w:ilvl w:val="0"/>
          <w:numId w:val="14"/>
        </w:numPr>
        <w:spacing w:before="0" w:after="0"/>
        <w:ind w:left="1843"/>
        <w:jc w:val="both"/>
        <w:rPr>
          <w:b w:val="0"/>
          <w:bCs w:val="0"/>
        </w:rPr>
      </w:pPr>
      <w:r>
        <w:rPr>
          <w:b w:val="0"/>
          <w:bCs w:val="0"/>
        </w:rPr>
        <w:t xml:space="preserve">форму согласия субъекта </w:t>
      </w:r>
      <w:proofErr w:type="spellStart"/>
      <w:r>
        <w:rPr>
          <w:b w:val="0"/>
          <w:bCs w:val="0"/>
        </w:rPr>
        <w:t>ПДн</w:t>
      </w:r>
      <w:proofErr w:type="spellEnd"/>
      <w:r>
        <w:rPr>
          <w:b w:val="0"/>
          <w:bCs w:val="0"/>
        </w:rPr>
        <w:t xml:space="preserve"> на обработку персональных данных;</w:t>
      </w:r>
    </w:p>
    <w:p w:rsidR="003D4261" w:rsidRDefault="00495539">
      <w:pPr>
        <w:pStyle w:val="1"/>
        <w:keepNext w:val="0"/>
        <w:keepLines w:val="0"/>
        <w:numPr>
          <w:ilvl w:val="0"/>
          <w:numId w:val="14"/>
        </w:numPr>
        <w:spacing w:before="0" w:after="0"/>
        <w:ind w:left="1843"/>
        <w:jc w:val="both"/>
        <w:rPr>
          <w:b w:val="0"/>
          <w:bCs w:val="0"/>
        </w:rPr>
      </w:pPr>
      <w:r>
        <w:rPr>
          <w:b w:val="0"/>
          <w:bCs w:val="0"/>
        </w:rPr>
        <w:t xml:space="preserve">форму согласия субъекта </w:t>
      </w:r>
      <w:proofErr w:type="spellStart"/>
      <w:r>
        <w:rPr>
          <w:b w:val="0"/>
          <w:bCs w:val="0"/>
        </w:rPr>
        <w:t>ПДн</w:t>
      </w:r>
      <w:proofErr w:type="spellEnd"/>
      <w:r>
        <w:rPr>
          <w:b w:val="0"/>
          <w:bCs w:val="0"/>
        </w:rPr>
        <w:t xml:space="preserve"> на обработку персональных данных, разрешенных субъектом персональных данных для распространения (передачи третьим лицам);</w:t>
      </w:r>
    </w:p>
    <w:p w:rsidR="003D4261" w:rsidRDefault="00495539">
      <w:pPr>
        <w:pStyle w:val="1"/>
        <w:keepNext w:val="0"/>
        <w:keepLines w:val="0"/>
        <w:numPr>
          <w:ilvl w:val="0"/>
          <w:numId w:val="14"/>
        </w:numPr>
        <w:spacing w:before="0" w:after="0"/>
        <w:ind w:left="1843"/>
        <w:jc w:val="both"/>
        <w:rPr>
          <w:b w:val="0"/>
          <w:bCs w:val="0"/>
        </w:rPr>
      </w:pPr>
      <w:bookmarkStart w:id="3" w:name="_Hlk215677535"/>
      <w:r>
        <w:rPr>
          <w:b w:val="0"/>
          <w:bCs w:val="0"/>
        </w:rPr>
        <w:t xml:space="preserve">порядок взаимодействия с уполномоченным органом по защите прав субъектов </w:t>
      </w:r>
      <w:proofErr w:type="spellStart"/>
      <w:r>
        <w:rPr>
          <w:b w:val="0"/>
          <w:bCs w:val="0"/>
        </w:rPr>
        <w:t>ПДн</w:t>
      </w:r>
      <w:bookmarkEnd w:id="3"/>
      <w:proofErr w:type="spellEnd"/>
      <w:r>
        <w:rPr>
          <w:b w:val="0"/>
          <w:bCs w:val="0"/>
        </w:rPr>
        <w:t>;</w:t>
      </w:r>
    </w:p>
    <w:p w:rsidR="003D4261" w:rsidRDefault="00495539">
      <w:pPr>
        <w:pStyle w:val="1"/>
        <w:keepNext w:val="0"/>
        <w:keepLines w:val="0"/>
        <w:numPr>
          <w:ilvl w:val="0"/>
          <w:numId w:val="14"/>
        </w:numPr>
        <w:spacing w:before="0" w:after="0"/>
        <w:ind w:left="1843"/>
        <w:jc w:val="both"/>
        <w:rPr>
          <w:b w:val="0"/>
          <w:bCs w:val="0"/>
        </w:rPr>
      </w:pPr>
      <w:r>
        <w:rPr>
          <w:b w:val="0"/>
          <w:bCs w:val="0"/>
        </w:rPr>
        <w:t>положение об организации обработки и защиты персональных данных в Обществе;</w:t>
      </w:r>
      <w:bookmarkEnd w:id="2"/>
    </w:p>
    <w:p w:rsidR="003D4261" w:rsidRDefault="00495539">
      <w:pPr>
        <w:pStyle w:val="1"/>
        <w:keepNext w:val="0"/>
        <w:keepLines w:val="0"/>
        <w:numPr>
          <w:ilvl w:val="0"/>
          <w:numId w:val="14"/>
        </w:numPr>
        <w:spacing w:before="0" w:after="0"/>
        <w:ind w:left="1843"/>
        <w:jc w:val="both"/>
        <w:rPr>
          <w:b w:val="0"/>
          <w:bCs w:val="0"/>
        </w:rPr>
      </w:pPr>
      <w:r>
        <w:rPr>
          <w:b w:val="0"/>
          <w:bCs w:val="0"/>
        </w:rPr>
        <w:t xml:space="preserve">положения </w:t>
      </w:r>
      <w:bookmarkStart w:id="4" w:name="_Hlk215677253"/>
      <w:r>
        <w:rPr>
          <w:b w:val="0"/>
          <w:bCs w:val="0"/>
        </w:rPr>
        <w:t xml:space="preserve">об организации обработки и защиты персональных данных в Подразделениях – владельцах информационных активов Общества </w:t>
      </w:r>
      <w:bookmarkEnd w:id="4"/>
      <w:r>
        <w:rPr>
          <w:b w:val="0"/>
          <w:bCs w:val="0"/>
        </w:rPr>
        <w:t>(в границы проекта не входят мероприятия аудита и информационного обследования, предоставление необходимой информации (включая внутренние документы Общества) обеспечивается Заказчиком (по запросу)), включая формы;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 xml:space="preserve">согласий (с учетом целей и задач обработки </w:t>
      </w:r>
      <w:proofErr w:type="spellStart"/>
      <w:r>
        <w:rPr>
          <w:b w:val="0"/>
          <w:bCs w:val="0"/>
        </w:rPr>
        <w:t>ПДн</w:t>
      </w:r>
      <w:proofErr w:type="spellEnd"/>
      <w:r>
        <w:rPr>
          <w:b w:val="0"/>
          <w:bCs w:val="0"/>
        </w:rPr>
        <w:t xml:space="preserve"> в Подразделении Общества);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 xml:space="preserve">запроса субъекта </w:t>
      </w:r>
      <w:proofErr w:type="spellStart"/>
      <w:r>
        <w:rPr>
          <w:b w:val="0"/>
          <w:bCs w:val="0"/>
        </w:rPr>
        <w:t>ПДн</w:t>
      </w:r>
      <w:proofErr w:type="spellEnd"/>
      <w:r>
        <w:rPr>
          <w:b w:val="0"/>
          <w:bCs w:val="0"/>
        </w:rPr>
        <w:t xml:space="preserve"> на доступ к своим персональным данным;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 xml:space="preserve">журнала учета обращений субъектов </w:t>
      </w:r>
      <w:proofErr w:type="spellStart"/>
      <w:r>
        <w:rPr>
          <w:b w:val="0"/>
          <w:bCs w:val="0"/>
        </w:rPr>
        <w:t>ПДн</w:t>
      </w:r>
      <w:proofErr w:type="spellEnd"/>
      <w:r>
        <w:rPr>
          <w:b w:val="0"/>
          <w:bCs w:val="0"/>
        </w:rPr>
        <w:t>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 xml:space="preserve">ответа на запрос субъекта </w:t>
      </w:r>
      <w:proofErr w:type="spellStart"/>
      <w:r>
        <w:rPr>
          <w:b w:val="0"/>
          <w:bCs w:val="0"/>
        </w:rPr>
        <w:t>ПДн</w:t>
      </w:r>
      <w:proofErr w:type="spellEnd"/>
      <w:r>
        <w:rPr>
          <w:b w:val="0"/>
          <w:bCs w:val="0"/>
        </w:rPr>
        <w:t xml:space="preserve"> об обработке его персональных данных;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lastRenderedPageBreak/>
        <w:t>журнала регистрации письменных запросов граждан на доступ к своим персональным данным;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 xml:space="preserve">отказа в исполнении запроса субъекта </w:t>
      </w:r>
      <w:proofErr w:type="spellStart"/>
      <w:r>
        <w:rPr>
          <w:b w:val="0"/>
          <w:bCs w:val="0"/>
        </w:rPr>
        <w:t>ПДн</w:t>
      </w:r>
      <w:proofErr w:type="spellEnd"/>
      <w:r>
        <w:rPr>
          <w:b w:val="0"/>
          <w:bCs w:val="0"/>
        </w:rPr>
        <w:t>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>журнала учета проверок, проводимых органами государственного контроля (надзора), органами муниципального контроля;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 xml:space="preserve">разъяснения субъекту </w:t>
      </w:r>
      <w:proofErr w:type="spellStart"/>
      <w:r>
        <w:rPr>
          <w:b w:val="0"/>
          <w:bCs w:val="0"/>
        </w:rPr>
        <w:t>ПДн</w:t>
      </w:r>
      <w:proofErr w:type="spellEnd"/>
      <w:r>
        <w:rPr>
          <w:b w:val="0"/>
          <w:bCs w:val="0"/>
        </w:rPr>
        <w:t xml:space="preserve"> юридических последствий отказа предоставления своих персональных данных;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 xml:space="preserve">уведомления субъекта </w:t>
      </w:r>
      <w:proofErr w:type="spellStart"/>
      <w:r>
        <w:rPr>
          <w:b w:val="0"/>
          <w:bCs w:val="0"/>
        </w:rPr>
        <w:t>ПДн</w:t>
      </w:r>
      <w:proofErr w:type="spellEnd"/>
      <w:r>
        <w:rPr>
          <w:b w:val="0"/>
          <w:bCs w:val="0"/>
        </w:rPr>
        <w:t xml:space="preserve"> об устранении неправомерных действий с его персональными данными;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 xml:space="preserve">уведомления субъекта </w:t>
      </w:r>
      <w:proofErr w:type="spellStart"/>
      <w:r>
        <w:rPr>
          <w:b w:val="0"/>
          <w:bCs w:val="0"/>
        </w:rPr>
        <w:t>ПДн</w:t>
      </w:r>
      <w:proofErr w:type="spellEnd"/>
      <w:r>
        <w:rPr>
          <w:b w:val="0"/>
          <w:bCs w:val="0"/>
        </w:rPr>
        <w:t xml:space="preserve"> об уничтожении его персональных данных;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>разделов должностных инструкций работников Подразделения Общества, допущенных к обработке персональных данных;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 xml:space="preserve">журнала учета носителей </w:t>
      </w:r>
      <w:proofErr w:type="spellStart"/>
      <w:r>
        <w:rPr>
          <w:b w:val="0"/>
          <w:bCs w:val="0"/>
        </w:rPr>
        <w:t>ПДн</w:t>
      </w:r>
      <w:proofErr w:type="spellEnd"/>
      <w:r>
        <w:rPr>
          <w:b w:val="0"/>
          <w:bCs w:val="0"/>
        </w:rPr>
        <w:t>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>акта об уничтожении носителей персональных данных, не подлежащих дальнейшему хранению;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>акта об уничтожении файлов и записей, содержащих персональные данные, не подлежащие дальнейшей обработке;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>перечня мест хранения материальных носителей персональных данных, обрабатываемых в Подразделении Общества без использования средств автоматизации;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>перечня материальных носителей персональных данных и сроков их хранения;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>перечня подразделений и должностей работников Подразделения Общества, допущенных к обработке персональных данных;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>журнала учета технических средств, участвующих в обработке персональных данных;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2552" w:hanging="284"/>
        <w:jc w:val="both"/>
        <w:rPr>
          <w:b w:val="0"/>
          <w:bCs w:val="0"/>
        </w:rPr>
      </w:pPr>
      <w:r>
        <w:rPr>
          <w:b w:val="0"/>
          <w:bCs w:val="0"/>
        </w:rPr>
        <w:t>журнала учета уничтожений персональных данных;</w:t>
      </w:r>
    </w:p>
    <w:p w:rsidR="003D4261" w:rsidRDefault="00495539">
      <w:pPr>
        <w:pStyle w:val="1"/>
        <w:keepNext w:val="0"/>
        <w:keepLines w:val="0"/>
        <w:numPr>
          <w:ilvl w:val="0"/>
          <w:numId w:val="0"/>
        </w:numPr>
        <w:ind w:left="567"/>
        <w:jc w:val="both"/>
        <w:rPr>
          <w:b w:val="0"/>
          <w:bCs w:val="0"/>
        </w:rPr>
      </w:pPr>
      <w:r>
        <w:rPr>
          <w:b w:val="0"/>
          <w:bCs w:val="0"/>
        </w:rPr>
        <w:t>Проекты документов передаются в 1 (одном) экземпляре на бумажном носителе и в 1 (одном) экземпляре в электронном виде в форматах</w:t>
      </w:r>
      <w:r>
        <w:t xml:space="preserve"> </w:t>
      </w:r>
      <w:r>
        <w:rPr>
          <w:b w:val="0"/>
          <w:bCs w:val="0"/>
        </w:rPr>
        <w:t xml:space="preserve">расширения файлов, поддерживаемые для открытия и редактирования в приложениях Р7-Офис и </w:t>
      </w:r>
      <w:proofErr w:type="spellStart"/>
      <w:r>
        <w:rPr>
          <w:b w:val="0"/>
          <w:bCs w:val="0"/>
        </w:rPr>
        <w:t>Master</w:t>
      </w:r>
      <w:proofErr w:type="spellEnd"/>
      <w:r>
        <w:rPr>
          <w:b w:val="0"/>
          <w:bCs w:val="0"/>
        </w:rPr>
        <w:t xml:space="preserve"> PDF </w:t>
      </w:r>
      <w:proofErr w:type="spellStart"/>
      <w:r>
        <w:rPr>
          <w:b w:val="0"/>
          <w:bCs w:val="0"/>
        </w:rPr>
        <w:t>Editor</w:t>
      </w:r>
      <w:proofErr w:type="spellEnd"/>
      <w:r>
        <w:rPr>
          <w:b w:val="0"/>
          <w:bCs w:val="0"/>
        </w:rPr>
        <w:t>.</w:t>
      </w:r>
    </w:p>
    <w:p w:rsidR="003D4261" w:rsidRDefault="003D4261"/>
    <w:p w:rsidR="003D4261" w:rsidRDefault="00495539">
      <w:pPr>
        <w:pStyle w:val="1"/>
        <w:keepNext w:val="0"/>
        <w:keepLines w:val="0"/>
      </w:pPr>
      <w:r>
        <w:t>Требования к информационной безопасности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При оказании услуг необходимо соблюдать следующие требования по информационной безопасности: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567" w:firstLine="0"/>
        <w:jc w:val="both"/>
        <w:rPr>
          <w:b w:val="0"/>
          <w:bCs w:val="0"/>
        </w:rPr>
      </w:pPr>
      <w:r>
        <w:rPr>
          <w:b w:val="0"/>
          <w:bCs w:val="0"/>
        </w:rPr>
        <w:t>Требования законодательства на «федеральном уровне», представленные:</w:t>
      </w:r>
    </w:p>
    <w:p w:rsidR="003D4261" w:rsidRDefault="00495539">
      <w:pPr>
        <w:pStyle w:val="1"/>
        <w:keepNext w:val="0"/>
        <w:keepLines w:val="0"/>
        <w:numPr>
          <w:ilvl w:val="0"/>
          <w:numId w:val="14"/>
        </w:numPr>
        <w:spacing w:before="0" w:after="0"/>
        <w:jc w:val="both"/>
        <w:rPr>
          <w:b w:val="0"/>
          <w:bCs w:val="0"/>
        </w:rPr>
      </w:pPr>
      <w:r>
        <w:rPr>
          <w:b w:val="0"/>
          <w:bCs w:val="0"/>
        </w:rPr>
        <w:t>указ Президента Российской Федерации от 30.03.2022 №166 «О мерах по обеспечению технологической независимости и безопасности критической информационной инфраструктуры Российской Федерации»;</w:t>
      </w:r>
    </w:p>
    <w:p w:rsidR="003D4261" w:rsidRDefault="00495539">
      <w:pPr>
        <w:pStyle w:val="1"/>
        <w:keepNext w:val="0"/>
        <w:keepLines w:val="0"/>
        <w:numPr>
          <w:ilvl w:val="0"/>
          <w:numId w:val="14"/>
        </w:numPr>
        <w:spacing w:before="0" w:after="0"/>
        <w:jc w:val="both"/>
        <w:rPr>
          <w:b w:val="0"/>
        </w:rPr>
      </w:pPr>
      <w:r>
        <w:rPr>
          <w:b w:val="0"/>
        </w:rPr>
        <w:t>указ Президента Российской Федерации от 01.05.2022 №250 «О дополнительных мерах по обеспечению информационной безопасности Российской Федерации»;</w:t>
      </w:r>
    </w:p>
    <w:p w:rsidR="003D4261" w:rsidRDefault="00495539">
      <w:pPr>
        <w:pStyle w:val="1"/>
        <w:keepNext w:val="0"/>
        <w:keepLines w:val="0"/>
        <w:numPr>
          <w:ilvl w:val="0"/>
          <w:numId w:val="14"/>
        </w:numPr>
        <w:spacing w:before="0" w:after="0"/>
        <w:jc w:val="both"/>
        <w:rPr>
          <w:b w:val="0"/>
        </w:rPr>
      </w:pPr>
      <w:r>
        <w:rPr>
          <w:b w:val="0"/>
        </w:rPr>
        <w:t>Федеральный закон Российской Федерации от 25 марта 2003 г. № 35-ФЗ «Об электроэнергетике»: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tabs>
          <w:tab w:val="left" w:pos="1843"/>
        </w:tabs>
        <w:spacing w:before="0" w:after="0"/>
        <w:ind w:left="1843" w:hanging="425"/>
        <w:jc w:val="both"/>
        <w:rPr>
          <w:b w:val="0"/>
          <w:bCs w:val="0"/>
        </w:rPr>
      </w:pPr>
      <w:r>
        <w:rPr>
          <w:b w:val="0"/>
          <w:bCs w:val="0"/>
        </w:rPr>
        <w:t>Постановление Правительства Российской Федерации от 27 декабря 2004 г. № 854 «Об утверждении Правил оперативно-диспетчерского управления в электроэнергетике»;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tabs>
          <w:tab w:val="left" w:pos="1843"/>
        </w:tabs>
        <w:spacing w:before="0" w:after="0"/>
        <w:ind w:left="1843" w:hanging="425"/>
        <w:jc w:val="both"/>
        <w:rPr>
          <w:b w:val="0"/>
          <w:bCs w:val="0"/>
        </w:rPr>
      </w:pPr>
      <w:r>
        <w:rPr>
          <w:b w:val="0"/>
          <w:bCs w:val="0"/>
        </w:rPr>
        <w:t>Постановление Правительства Российской Федерации от 25 августа 2008 г. № 637 «Об организации деятельности Правительственной комиссии по обеспечению безопасности электроснабжения (федерального штаба)»;</w:t>
      </w:r>
    </w:p>
    <w:p w:rsidR="003D4261" w:rsidRDefault="00495539">
      <w:pPr>
        <w:pStyle w:val="1"/>
        <w:keepNext w:val="0"/>
        <w:keepLines w:val="0"/>
        <w:numPr>
          <w:ilvl w:val="0"/>
          <w:numId w:val="14"/>
        </w:numPr>
        <w:spacing w:before="0" w:after="0"/>
        <w:jc w:val="both"/>
        <w:rPr>
          <w:b w:val="0"/>
        </w:rPr>
      </w:pPr>
      <w:r>
        <w:rPr>
          <w:b w:val="0"/>
        </w:rPr>
        <w:lastRenderedPageBreak/>
        <w:t>Федеральный закон от 21 июля 2011 г. № 256-ФЗ «О безопасности объектов топливно-энергетического комплекса»;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tabs>
          <w:tab w:val="left" w:pos="1843"/>
        </w:tabs>
        <w:spacing w:before="0" w:after="0"/>
        <w:ind w:left="1843" w:hanging="425"/>
        <w:jc w:val="both"/>
        <w:rPr>
          <w:b w:val="0"/>
          <w:bCs w:val="0"/>
        </w:rPr>
      </w:pPr>
      <w:r>
        <w:rPr>
          <w:b w:val="0"/>
          <w:bCs w:val="0"/>
        </w:rPr>
        <w:t>Постановление Правительства Российской Федерации от 5 мая 2012 г. № 458 «Об утверждении Правил по обеспечению безопасности и антитеррористической защищенности объектов топливно-энергетического комплекса»;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tabs>
          <w:tab w:val="left" w:pos="1843"/>
        </w:tabs>
        <w:spacing w:before="0" w:after="0"/>
        <w:ind w:left="1843" w:hanging="425"/>
        <w:jc w:val="both"/>
        <w:rPr>
          <w:b w:val="0"/>
          <w:bCs w:val="0"/>
        </w:rPr>
      </w:pPr>
      <w:r>
        <w:rPr>
          <w:b w:val="0"/>
          <w:bCs w:val="0"/>
        </w:rPr>
        <w:t>Постановление Правительства РФ от 19.09.2015 г. № 993 «Об утверждении требований к обеспечению безопасности линейных объектов топливно-энергетического комплекса».</w:t>
      </w:r>
    </w:p>
    <w:p w:rsidR="003D4261" w:rsidRDefault="00495539">
      <w:pPr>
        <w:pStyle w:val="1"/>
        <w:keepNext w:val="0"/>
        <w:keepLines w:val="0"/>
        <w:numPr>
          <w:ilvl w:val="0"/>
          <w:numId w:val="14"/>
        </w:numPr>
        <w:spacing w:before="0" w:after="0"/>
        <w:jc w:val="both"/>
        <w:rPr>
          <w:b w:val="0"/>
        </w:rPr>
      </w:pPr>
      <w:r>
        <w:rPr>
          <w:b w:val="0"/>
        </w:rPr>
        <w:t>Федеральный закон Российской Федерации от 26 июля 2017 г. № 187-ФЗ «О безопасности критической информационной инфраструктуры Российской Федерации»;</w:t>
      </w:r>
    </w:p>
    <w:p w:rsidR="003D4261" w:rsidRDefault="00495539">
      <w:pPr>
        <w:pStyle w:val="1"/>
        <w:keepNext w:val="0"/>
        <w:keepLines w:val="0"/>
        <w:numPr>
          <w:ilvl w:val="0"/>
          <w:numId w:val="14"/>
        </w:numPr>
        <w:spacing w:before="0" w:after="0"/>
        <w:jc w:val="both"/>
        <w:rPr>
          <w:b w:val="0"/>
        </w:rPr>
      </w:pPr>
      <w:r>
        <w:rPr>
          <w:b w:val="0"/>
        </w:rPr>
        <w:t>Федеральный закон от 21 июля 2011 г. № 257-ФЗ «О внесении изменений в отдельные законодательные акты Российской Федерации в части обеспечения безопасности объектов топливно-энергетического комплекса»;</w:t>
      </w:r>
    </w:p>
    <w:p w:rsidR="003D4261" w:rsidRDefault="00495539">
      <w:pPr>
        <w:pStyle w:val="1"/>
        <w:keepNext w:val="0"/>
        <w:keepLines w:val="0"/>
        <w:numPr>
          <w:ilvl w:val="0"/>
          <w:numId w:val="14"/>
        </w:numPr>
        <w:spacing w:before="0" w:after="0"/>
        <w:jc w:val="both"/>
        <w:rPr>
          <w:b w:val="0"/>
        </w:rPr>
      </w:pPr>
      <w:r>
        <w:rPr>
          <w:b w:val="0"/>
        </w:rPr>
        <w:t>Постановление Правительства Российской Федерации от 08 февраля 2018 г. № 127-П «Об утверждении показателей критериев значимости объектов КИИ РФ и их значений, а также порядка и сроков осуществления их категорирования»;</w:t>
      </w:r>
    </w:p>
    <w:p w:rsidR="003D4261" w:rsidRDefault="00495539">
      <w:pPr>
        <w:pStyle w:val="1"/>
        <w:keepNext w:val="0"/>
        <w:keepLines w:val="0"/>
        <w:numPr>
          <w:ilvl w:val="0"/>
          <w:numId w:val="14"/>
        </w:numPr>
        <w:spacing w:before="0" w:after="0"/>
        <w:jc w:val="both"/>
        <w:rPr>
          <w:b w:val="0"/>
        </w:rPr>
      </w:pPr>
      <w:r>
        <w:rPr>
          <w:b w:val="0"/>
        </w:rPr>
        <w:t>Приказ № 21 от 18.02.2013 ФСТЭК России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3D4261" w:rsidRDefault="00495539">
      <w:pPr>
        <w:pStyle w:val="a"/>
        <w:numPr>
          <w:ilvl w:val="0"/>
          <w:numId w:val="14"/>
        </w:numPr>
        <w:tabs>
          <w:tab w:val="clear" w:pos="964"/>
        </w:tabs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Приказ № 31 от 14.03.2014 ФСТЭК России «Об утверждении </w:t>
      </w:r>
      <w:hyperlink r:id="rId8" w:tooltip="http://fstec.ru/mainnews/149-tekhnicheskaya-zashchita-informatsii/dokumenty/proekty/800-proekt-normativnogo-pravovogo-akta-fstek-rossii" w:history="1">
        <w:r>
          <w:rPr>
            <w:rFonts w:ascii="Times New Roman" w:hAnsi="Times New Roman"/>
            <w:szCs w:val="24"/>
          </w:rPr>
          <w:t>Требований к обеспечению защиты информации в автоматизированных системах управления производственными и технологическими процессами на критически важных объектах, потенциально опасных объектах, а также объектах, представляющих повышенную опасность для жизни и здоровья людей и для окружающей природной среды»</w:t>
        </w:r>
      </w:hyperlink>
      <w:r>
        <w:rPr>
          <w:rFonts w:ascii="Times New Roman" w:hAnsi="Times New Roman"/>
          <w:szCs w:val="24"/>
        </w:rPr>
        <w:t>;</w:t>
      </w:r>
    </w:p>
    <w:p w:rsidR="003D4261" w:rsidRDefault="00495539">
      <w:pPr>
        <w:pStyle w:val="a"/>
        <w:numPr>
          <w:ilvl w:val="0"/>
          <w:numId w:val="14"/>
        </w:numPr>
        <w:tabs>
          <w:tab w:val="clear" w:pos="964"/>
        </w:tabs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«Методика оценки угроз безопасности информации» (утв. ФСТЭК России 05.02.2021);</w:t>
      </w:r>
    </w:p>
    <w:p w:rsidR="003D4261" w:rsidRDefault="00495539">
      <w:pPr>
        <w:pStyle w:val="a"/>
        <w:numPr>
          <w:ilvl w:val="0"/>
          <w:numId w:val="14"/>
        </w:numPr>
        <w:tabs>
          <w:tab w:val="clear" w:pos="964"/>
        </w:tabs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РД. «Методические рекомендации по формированию аналитического прогноза по укомплектованию подразделений по обеспечению безопасности информации в ключевых системах информационной инфраструктуры, противодействию иностранным техническим разведкам и технической защите информации подготовленными кадрами на заданный период» (утв. ФСТЭК России 23.04.2011).</w:t>
      </w:r>
    </w:p>
    <w:p w:rsidR="003D4261" w:rsidRDefault="00495539">
      <w:pPr>
        <w:pStyle w:val="a"/>
        <w:numPr>
          <w:ilvl w:val="0"/>
          <w:numId w:val="14"/>
        </w:numPr>
        <w:tabs>
          <w:tab w:val="clear" w:pos="964"/>
        </w:tabs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РД. АС. Защита от НСД к информации. Классификация АС и требования по защите информации (</w:t>
      </w:r>
      <w:proofErr w:type="spellStart"/>
      <w:r>
        <w:rPr>
          <w:rFonts w:ascii="Times New Roman" w:hAnsi="Times New Roman"/>
          <w:szCs w:val="24"/>
        </w:rPr>
        <w:t>Гостехкомиссия</w:t>
      </w:r>
      <w:proofErr w:type="spellEnd"/>
      <w:r>
        <w:rPr>
          <w:rFonts w:ascii="Times New Roman" w:hAnsi="Times New Roman"/>
          <w:szCs w:val="24"/>
        </w:rPr>
        <w:t xml:space="preserve"> России, 1992).</w:t>
      </w:r>
    </w:p>
    <w:p w:rsidR="003D4261" w:rsidRDefault="00495539">
      <w:pPr>
        <w:pStyle w:val="a"/>
        <w:numPr>
          <w:ilvl w:val="0"/>
          <w:numId w:val="14"/>
        </w:numPr>
        <w:tabs>
          <w:tab w:val="clear" w:pos="964"/>
        </w:tabs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РД. СВТ. СВТ. Защита от несанкционированного доступа к информации</w:t>
      </w:r>
    </w:p>
    <w:p w:rsidR="003D4261" w:rsidRDefault="00495539">
      <w:pPr>
        <w:pStyle w:val="a"/>
        <w:numPr>
          <w:ilvl w:val="0"/>
          <w:numId w:val="14"/>
        </w:numPr>
        <w:tabs>
          <w:tab w:val="clear" w:pos="964"/>
        </w:tabs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Показатели защищенности от несанкционированного доступа к информации (</w:t>
      </w:r>
      <w:proofErr w:type="spellStart"/>
      <w:r>
        <w:rPr>
          <w:rFonts w:ascii="Times New Roman" w:hAnsi="Times New Roman"/>
          <w:szCs w:val="24"/>
        </w:rPr>
        <w:t>Гостехкомиссия</w:t>
      </w:r>
      <w:proofErr w:type="spellEnd"/>
      <w:r>
        <w:rPr>
          <w:rFonts w:ascii="Times New Roman" w:hAnsi="Times New Roman"/>
          <w:szCs w:val="24"/>
        </w:rPr>
        <w:t xml:space="preserve"> России, 1992).</w:t>
      </w:r>
    </w:p>
    <w:p w:rsidR="003D4261" w:rsidRDefault="00495539">
      <w:pPr>
        <w:pStyle w:val="a"/>
        <w:numPr>
          <w:ilvl w:val="0"/>
          <w:numId w:val="14"/>
        </w:numPr>
        <w:tabs>
          <w:tab w:val="clear" w:pos="964"/>
        </w:tabs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РД. СВТ. Межсетевые экраны. Защита от НСД к информации. Показатели защищенности от НСД к информации (</w:t>
      </w:r>
      <w:proofErr w:type="spellStart"/>
      <w:r>
        <w:rPr>
          <w:rFonts w:ascii="Times New Roman" w:hAnsi="Times New Roman"/>
          <w:szCs w:val="24"/>
        </w:rPr>
        <w:t>Гостехкомиссия</w:t>
      </w:r>
      <w:proofErr w:type="spellEnd"/>
      <w:r>
        <w:rPr>
          <w:rFonts w:ascii="Times New Roman" w:hAnsi="Times New Roman"/>
          <w:szCs w:val="24"/>
        </w:rPr>
        <w:t xml:space="preserve"> России, 1997).</w:t>
      </w:r>
    </w:p>
    <w:p w:rsidR="003D4261" w:rsidRDefault="00495539">
      <w:pPr>
        <w:pStyle w:val="a"/>
        <w:numPr>
          <w:ilvl w:val="0"/>
          <w:numId w:val="14"/>
        </w:numPr>
        <w:tabs>
          <w:tab w:val="clear" w:pos="964"/>
        </w:tabs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Приказ ФСТЭК России от 6 декабря 2011 г. № 638 «Об утверждении Требований к системам обнаружения вторжений».</w:t>
      </w:r>
    </w:p>
    <w:p w:rsidR="003D4261" w:rsidRDefault="00495539">
      <w:pPr>
        <w:pStyle w:val="a"/>
        <w:numPr>
          <w:ilvl w:val="0"/>
          <w:numId w:val="14"/>
        </w:numPr>
        <w:tabs>
          <w:tab w:val="clear" w:pos="964"/>
        </w:tabs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Приказ ФСТЭК России от 20 марта 2012 г. № 28 «Об утверждении Требований к средствам антивирусной защиты».</w:t>
      </w:r>
    </w:p>
    <w:p w:rsidR="003D4261" w:rsidRDefault="00495539">
      <w:pPr>
        <w:pStyle w:val="a"/>
        <w:numPr>
          <w:ilvl w:val="0"/>
          <w:numId w:val="14"/>
        </w:numPr>
        <w:tabs>
          <w:tab w:val="clear" w:pos="964"/>
        </w:tabs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Приказ ФСТЭК России от 25 декабря 2017 года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3D4261" w:rsidRDefault="00495539">
      <w:pPr>
        <w:pStyle w:val="a"/>
        <w:numPr>
          <w:ilvl w:val="0"/>
          <w:numId w:val="14"/>
        </w:numPr>
        <w:tabs>
          <w:tab w:val="clear" w:pos="964"/>
        </w:tabs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Приказ ФСТЭК России от 21.12.2017 № 235 «Об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функционирования;</w:t>
      </w:r>
    </w:p>
    <w:p w:rsidR="003D4261" w:rsidRDefault="00495539">
      <w:pPr>
        <w:pStyle w:val="a"/>
        <w:numPr>
          <w:ilvl w:val="0"/>
          <w:numId w:val="14"/>
        </w:numPr>
        <w:tabs>
          <w:tab w:val="clear" w:pos="964"/>
        </w:tabs>
        <w:spacing w:befor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Концепция обеспечения информационной безопасности ПАО «</w:t>
      </w:r>
      <w:proofErr w:type="spellStart"/>
      <w:r>
        <w:rPr>
          <w:rFonts w:ascii="Times New Roman" w:hAnsi="Times New Roman"/>
          <w:szCs w:val="24"/>
        </w:rPr>
        <w:t>Россети</w:t>
      </w:r>
      <w:proofErr w:type="spellEnd"/>
      <w:r>
        <w:rPr>
          <w:rFonts w:ascii="Times New Roman" w:hAnsi="Times New Roman"/>
          <w:szCs w:val="24"/>
        </w:rPr>
        <w:t>», утверждена распоряжением ПАО «</w:t>
      </w:r>
      <w:proofErr w:type="spellStart"/>
      <w:r>
        <w:rPr>
          <w:rFonts w:ascii="Times New Roman" w:hAnsi="Times New Roman"/>
          <w:szCs w:val="24"/>
        </w:rPr>
        <w:t>Россети</w:t>
      </w:r>
      <w:proofErr w:type="spellEnd"/>
      <w:r>
        <w:rPr>
          <w:rFonts w:ascii="Times New Roman" w:hAnsi="Times New Roman"/>
          <w:szCs w:val="24"/>
        </w:rPr>
        <w:t>» от 07.02.2018 № 45.</w:t>
      </w:r>
    </w:p>
    <w:p w:rsidR="003D4261" w:rsidRDefault="003D4261"/>
    <w:p w:rsidR="003D4261" w:rsidRDefault="003D4261"/>
    <w:p w:rsidR="003D4261" w:rsidRDefault="00495539">
      <w:pPr>
        <w:pStyle w:val="1"/>
        <w:keepNext w:val="0"/>
        <w:keepLines w:val="0"/>
      </w:pPr>
      <w:r>
        <w:t>Обязательные (отборочные) требования к Участнику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Участвовать в конкурсе может любое юридическое или физическое лицо.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Участник в составе заявки должен предоставить копии действующих лицензий: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ind w:left="992" w:firstLine="0"/>
        <w:jc w:val="both"/>
        <w:rPr>
          <w:b w:val="0"/>
          <w:bCs w:val="0"/>
        </w:rPr>
      </w:pPr>
      <w:r>
        <w:rPr>
          <w:b w:val="0"/>
          <w:bCs w:val="0"/>
        </w:rPr>
        <w:t>ФСТЭК России на деятельность по технической защите конфиденциальной информации:  проектирование в защищённом исполнении: средств и систем информатизации; установка, монтаж, испытания, ремонт средств защиты информации: программных (программно-технических) средств защиты информации, защищенных программных (программно-технических) средств обработки информации, программных (программно-технических) средств контроля эффективности защиты информации, составляющих лицензируемую деятельность, в соответствии с постановлением Правительства Российской Федерации от 3 февраля 2012 г. № 79;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ind w:left="992" w:firstLine="0"/>
        <w:jc w:val="both"/>
        <w:rPr>
          <w:b w:val="0"/>
          <w:bCs w:val="0"/>
        </w:rPr>
      </w:pPr>
      <w:r>
        <w:rPr>
          <w:b w:val="0"/>
          <w:bCs w:val="0"/>
        </w:rPr>
        <w:t>В соответствии с Федеральным законом от 04.05.2011 №99-ФЗ "О лицензировании отдельных видов деятельности" подтверждение наличия лицензии должно быть представлено одним из следующих способом: в форме электронного документа, подписанного усиленной квалифицированной электронной подписью, в виде выписки из реестра лицензий, либо в виде копии акта лицензирующего органа о принятом решении. Если в соответствии с законодательством Российской Федерации информация и документы, подтверждающие соответствие участника требованиям законодательства РФ, содержатся в открытых и общедоступных государственных реестрах, размещенных в информационно-телекоммуникационной сети «Интернет», Участник в декларативном порядке предоставляет адрес сайта или страницу сайта, на которых они размещены.</w:t>
      </w:r>
    </w:p>
    <w:p w:rsidR="003D4261" w:rsidRDefault="003D4261"/>
    <w:p w:rsidR="003D4261" w:rsidRDefault="00495539">
      <w:pPr>
        <w:ind w:firstLine="567"/>
        <w:jc w:val="both"/>
      </w:pPr>
      <w:r>
        <w:t>Участник должен обладать вышеуказанными лицензиями на весь срок оказания услуг.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У участника конкурса должно быть не менее 3 (трех) специалистов, имеющих необходимую квалификацию в области информационной безопасности. Подтверждается копией аттестата о высшем образовании по направлению информационной безопасности, защиты информации, либо копией свидетельства о прохождении курсов повышения квалификации или переподготовки. Количество персонала определено исходя из условия достаточности для своевременного выполнения требуемого объема работ по настоящему лоту.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По требуемому количеству персонала предоставить справку о кадровых ресурсах или копии гражданско-правовых договоров.</w:t>
      </w:r>
    </w:p>
    <w:p w:rsidR="003D4261" w:rsidRDefault="00495539">
      <w:r>
        <w:t xml:space="preserve">          6.6.        Участник должен соответствовать всем требованиям закупочной документации</w:t>
      </w:r>
    </w:p>
    <w:p w:rsidR="003D4261" w:rsidRDefault="00495539">
      <w:pPr>
        <w:pStyle w:val="1"/>
        <w:keepNext w:val="0"/>
        <w:keepLines w:val="0"/>
      </w:pPr>
      <w:r>
        <w:t>Требования к качественным характеристикам оказания услуг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Результаты оказания услуг на бумажных носителях представляются в виде оформленных томов, подписанные и заверенные печатью (оригиналы), результаты оказания услуг в электронном виде представляются на CD (DVD) или USB-накопителе.</w:t>
      </w:r>
    </w:p>
    <w:p w:rsidR="003D4261" w:rsidRDefault="00495539">
      <w:pPr>
        <w:pStyle w:val="1"/>
        <w:keepNext w:val="0"/>
        <w:keepLines w:val="0"/>
        <w:numPr>
          <w:ilvl w:val="0"/>
          <w:numId w:val="0"/>
        </w:numPr>
        <w:ind w:firstLine="567"/>
        <w:jc w:val="both"/>
        <w:rPr>
          <w:b w:val="0"/>
          <w:bCs w:val="0"/>
        </w:rPr>
      </w:pPr>
      <w:r>
        <w:rPr>
          <w:b w:val="0"/>
          <w:bCs w:val="0"/>
        </w:rPr>
        <w:lastRenderedPageBreak/>
        <w:t>Не допускается предоставление текстов документов лота с приложениями в виде отдельных файлов (чертежи, схемы). Все приложения должны представлять собой единый файл с основным текстом документа.</w:t>
      </w:r>
    </w:p>
    <w:p w:rsidR="003D4261" w:rsidRDefault="00495539">
      <w:pPr>
        <w:pStyle w:val="1"/>
        <w:keepNext w:val="0"/>
        <w:keepLines w:val="0"/>
        <w:numPr>
          <w:ilvl w:val="0"/>
          <w:numId w:val="0"/>
        </w:numPr>
        <w:ind w:firstLine="567"/>
        <w:jc w:val="both"/>
        <w:rPr>
          <w:b w:val="0"/>
          <w:bCs w:val="0"/>
        </w:rPr>
      </w:pPr>
      <w:r>
        <w:rPr>
          <w:b w:val="0"/>
          <w:bCs w:val="0"/>
        </w:rPr>
        <w:t>На титульном листе отчета в бумажном виде должны быть оригинальные печати организации Разработчика (Исполнителя по договору) и подлинные подписи руководителя организации и руководителя работ, а также основных исполнителей у Разработчика. На следующей странице должен быть представлен титульный лист отчета и, далее по тексту, весь документ, оформленный в соответствии с настоящим Порядком.</w:t>
      </w:r>
    </w:p>
    <w:p w:rsidR="003D4261" w:rsidRDefault="003D4261"/>
    <w:p w:rsidR="003D4261" w:rsidRDefault="00495539">
      <w:pPr>
        <w:pStyle w:val="1"/>
        <w:keepNext w:val="0"/>
        <w:keepLines w:val="0"/>
      </w:pPr>
      <w:r>
        <w:t xml:space="preserve"> Особенности оказания услуг 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Результаты оказания услуг должны соответствовать следующим параметрам.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Оригиналы документации должны оформляться по одному экземпляру для каждой из Сторон.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Подготовка к утверждению и оформление отчетов осуществляется разработчиком под контролем Заказчика в соответствии с требованиями, установленными в: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567" w:firstLine="0"/>
        <w:jc w:val="both"/>
        <w:rPr>
          <w:b w:val="0"/>
          <w:bCs w:val="0"/>
        </w:rPr>
      </w:pPr>
      <w:r>
        <w:rPr>
          <w:b w:val="0"/>
          <w:bCs w:val="0"/>
        </w:rPr>
        <w:t>ГОСТ 2.105-95 ЕСКД. «Общие требования к текстовым документам».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567" w:firstLine="0"/>
        <w:jc w:val="both"/>
        <w:rPr>
          <w:b w:val="0"/>
          <w:bCs w:val="0"/>
        </w:rPr>
      </w:pPr>
      <w:r>
        <w:rPr>
          <w:b w:val="0"/>
          <w:bCs w:val="0"/>
        </w:rPr>
        <w:t>рекомендациях по изготовлению рисунков к разрабатываемым стандартам.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Редакционные правки в тексты отчетных документов вносит разработчик совместно с Заказчиком. 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При оформлении отчетной документации используются гарнитуры шрифта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Times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New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Roman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размером 14 для основного текста и размером 12 для таблиц, приложений, примечаний, сносок и примеров. Междустрочный интервал по тексту используется одинарный.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Поля документа должны быть шириной: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567" w:firstLine="0"/>
        <w:jc w:val="both"/>
        <w:rPr>
          <w:b w:val="0"/>
          <w:bCs w:val="0"/>
        </w:rPr>
      </w:pPr>
      <w:r>
        <w:rPr>
          <w:b w:val="0"/>
          <w:bCs w:val="0"/>
        </w:rPr>
        <w:t>30,0 мм – левое;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567" w:firstLine="0"/>
        <w:jc w:val="both"/>
        <w:rPr>
          <w:b w:val="0"/>
          <w:bCs w:val="0"/>
        </w:rPr>
      </w:pPr>
      <w:r>
        <w:rPr>
          <w:b w:val="0"/>
          <w:bCs w:val="0"/>
        </w:rPr>
        <w:t>12,5 мм – правое;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567" w:firstLine="0"/>
        <w:jc w:val="both"/>
        <w:rPr>
          <w:b w:val="0"/>
          <w:bCs w:val="0"/>
        </w:rPr>
      </w:pPr>
      <w:r>
        <w:rPr>
          <w:b w:val="0"/>
          <w:bCs w:val="0"/>
        </w:rPr>
        <w:t>20,0 мм – верхнее;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567" w:firstLine="0"/>
        <w:jc w:val="both"/>
        <w:rPr>
          <w:b w:val="0"/>
          <w:bCs w:val="0"/>
        </w:rPr>
      </w:pPr>
      <w:r>
        <w:rPr>
          <w:b w:val="0"/>
          <w:bCs w:val="0"/>
        </w:rPr>
        <w:t>20,0 мм – нижнее.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Абзацный отступ должен быть 12,5 мм от границы полей. Текст выравнивается по ширине. Отступы текста от полей: справа, слева - 0 мм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оформлении отчетных документов не допускается использовать перенос в словах. Заголовки разделов и подразделов печатаются полужирным шрифтом.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Нумерация страниц – арабскими цифрами сквозная, начиная с титульного листа, по тексту документа посередине в верхней части страницы. Для нумерации страниц используется шрифт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Times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New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Roman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размером 12.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Отчеты в электронном виде в форматах расширения файлов, поддерживаемых для открытия и редактирования в приложениях Р7-Офис, должны содержать оглавление, созданное атематическим способом средствами Р7-Офис, путем применения стилей заголовков. Заголовки всех уровней выполняются полужирным шрифтом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Times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New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Roman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размером 14, с абзацным отступом 12,5 мм от границы полей и одинарным междустрочным интервалом.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Разработчик документа обязан проверять с использованием лицензионных поисковых систем актуальность нормативных документов, включенных в подраздел «Нормативные ссылки» и указывать в круглых скобках, после названия нормативного документа, наличие и количество изменений к нему, например, (с Изменением № 1) или (с Изменениями № 1, 2, 3, 4). Разрыв сокращённых наименований организаций по тексту документа не допускается.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Точки после заголовков разделов и подразделов не ставятся.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Пункты в тексте нумеруются арабскими цифрами без точки и заголовков не имеют. После слов «Пункт» или его сокращением «П.», или «п.» необходимо предусматривать пробел. Пункты могут разделяться на подпункты, которые могут нумероваться арабскими цифрами или строчными буквами с закрывающейся круглой скобкой.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Таблицы нумеруют арабскими цифрами сквозной нумерацией в пределах всего текста СТО, за исключением таблиц приложений.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Таблицы каждого приложения нумеруют арабскими цифрами отдельной нумерацией, добавляя перед каждым номером обозначение указанного приложения и разделяя их точкой. 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Если в отчетах имеется одна таблица, то ее обозначают «Таблица 1» или, например, «Таблица В.1» (если таблица приведена в приложении В).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Допускается нумеровать таблицы в пределах раздела. В этом случае номер таблицы состоит из номера раздела и порядкового номера таблицы, разделённых точкой. Сокращения заголовков таблиц не допускаются.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 первой странице приложения в правом верхнем углу пишется слово «Приложение» с обозначением прописной буквой за исключением буквы «З». Заголовок к тексту приложения печатается центрованным способом. Наименование приложения (первое слово заголовка приложения) выделяется полужирным шрифтом и может быть напечатано в разрядку.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Размеры полей, шрифты и межстрочные интервалы при печатании текста приложения идентичны размерам, применяемым при оформлении основного текста отчета.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ссылках на структурные элементы отчета рекомендуется использовать следующие формулировки: «...в соответствии с разделом 2», «...согласно 3.1», «...по 3.1.1», «...в соответствии с перечислением б) 4.2.2», «...по формуле (3.3)», «в соответствии с таблицей 1», «... в части показателя 1 таблицы 2» и т. п.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ссылках на отдельные структурные элементы приложений рекомендуется использовать следующие формулировки: «... в соответствии с А.1 (приложение А)», «... на рисунке А.2 (приложение А)», «... в таблице Б.2 (приложение Б)» и т. п.».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оформлении формул следует руководствоваться ГОСТ 2.105-95 «ЕСКД. Общие требования к текстовым документам». Пропуски знаков препинания не допускаются.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Разработчик документа обязан проверять с использованием лицензионных поисковых систем актуальность нормативных документов, включенных в подраздел «Нормативные ссылки» и указывать в круглых скобках, после названия нормативного документа, наличие и количество изменений к нему, например, (с Изменением № 1) или (с Изменениями № 1, 2, 3,4).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Услуги оказываются в один этап.</w:t>
      </w:r>
    </w:p>
    <w:p w:rsidR="003D4261" w:rsidRDefault="003D4261"/>
    <w:p w:rsidR="003D4261" w:rsidRDefault="00495539">
      <w:pPr>
        <w:pStyle w:val="1"/>
        <w:keepNext w:val="0"/>
        <w:keepLines w:val="0"/>
      </w:pPr>
      <w:r>
        <w:t>Охрана труда и техника безопасности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При оказании услуг необходимо руководствоваться требованиями по охране труда и технике безопасности, изложенными в следующих нормативных документах: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567" w:firstLine="0"/>
        <w:jc w:val="both"/>
        <w:rPr>
          <w:b w:val="0"/>
          <w:bCs w:val="0"/>
        </w:rPr>
      </w:pPr>
      <w:r>
        <w:rPr>
          <w:b w:val="0"/>
          <w:bCs w:val="0"/>
        </w:rPr>
        <w:t>Правила по охране труда при эксплуатации электроустановок;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567" w:firstLine="0"/>
        <w:jc w:val="both"/>
        <w:rPr>
          <w:b w:val="0"/>
          <w:bCs w:val="0"/>
        </w:rPr>
      </w:pPr>
      <w:r>
        <w:rPr>
          <w:b w:val="0"/>
          <w:bCs w:val="0"/>
        </w:rPr>
        <w:t>Правила технической эксплуатации электроустановок потребителей;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567" w:firstLine="0"/>
        <w:jc w:val="both"/>
        <w:rPr>
          <w:b w:val="0"/>
          <w:bCs w:val="0"/>
        </w:rPr>
      </w:pPr>
      <w:r>
        <w:rPr>
          <w:b w:val="0"/>
          <w:bCs w:val="0"/>
        </w:rPr>
        <w:t>Положение по особенности расследования несчастных случаев на производстве в отдельных отраслях и организациях;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567" w:firstLine="0"/>
        <w:jc w:val="both"/>
        <w:rPr>
          <w:b w:val="0"/>
          <w:bCs w:val="0"/>
        </w:rPr>
      </w:pPr>
      <w:r>
        <w:rPr>
          <w:b w:val="0"/>
          <w:bCs w:val="0"/>
        </w:rPr>
        <w:t>Регламент допуска персонала организаций для выполнения работ на объектах ПАО «</w:t>
      </w:r>
      <w:proofErr w:type="spellStart"/>
      <w:r>
        <w:rPr>
          <w:b w:val="0"/>
          <w:bCs w:val="0"/>
        </w:rPr>
        <w:t>Россети</w:t>
      </w:r>
      <w:proofErr w:type="spellEnd"/>
      <w:r>
        <w:rPr>
          <w:b w:val="0"/>
          <w:bCs w:val="0"/>
        </w:rPr>
        <w:t xml:space="preserve"> Московский регион», утвержденный приказом Общества от 05.04.2021 №333;</w:t>
      </w:r>
    </w:p>
    <w:p w:rsidR="003D4261" w:rsidRDefault="00495539">
      <w:pPr>
        <w:pStyle w:val="1"/>
        <w:keepNext w:val="0"/>
        <w:keepLines w:val="0"/>
        <w:numPr>
          <w:ilvl w:val="0"/>
          <w:numId w:val="12"/>
        </w:numPr>
        <w:spacing w:before="0" w:after="0"/>
        <w:ind w:left="567" w:firstLine="0"/>
        <w:jc w:val="both"/>
        <w:rPr>
          <w:b w:val="0"/>
          <w:bCs w:val="0"/>
        </w:rPr>
      </w:pPr>
      <w:r>
        <w:rPr>
          <w:b w:val="0"/>
          <w:bCs w:val="0"/>
        </w:rPr>
        <w:t>Других соответствующих нормативных документах РФ.</w:t>
      </w:r>
    </w:p>
    <w:p w:rsidR="003D4261" w:rsidRDefault="003D4261"/>
    <w:p w:rsidR="003D4261" w:rsidRDefault="00495539">
      <w:pPr>
        <w:pStyle w:val="1"/>
        <w:keepNext w:val="0"/>
        <w:keepLines w:val="0"/>
      </w:pPr>
      <w:r>
        <w:t>Права на результаты интеллектуальной деятельности</w:t>
      </w:r>
    </w:p>
    <w:p w:rsidR="003D4261" w:rsidRDefault="00495539">
      <w:pPr>
        <w:pStyle w:val="1"/>
        <w:keepNext w:val="0"/>
        <w:keepLines w:val="0"/>
        <w:framePr w:hSpace="180" w:wrap="around" w:vAnchor="text" w:hAnchor="margin" w:y="-14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lastRenderedPageBreak/>
        <w:t>После приёма услуг исключительные права на результаты услуг, их корректировку и распространение переходят к Заказчику.</w:t>
      </w:r>
    </w:p>
    <w:p w:rsidR="003D4261" w:rsidRDefault="00495539">
      <w:pPr>
        <w:pStyle w:val="20"/>
        <w:keepNext w:val="0"/>
        <w:numPr>
          <w:ilvl w:val="1"/>
          <w:numId w:val="0"/>
        </w:numPr>
        <w:spacing w:before="0"/>
        <w:ind w:firstLine="45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случае если материалы и/или результаты услуг (отчёты) содержат информацию, составляющую коммерческую тайну ПАО «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Московский регион», Исполнитель неукоснительно руководствуется установленным режимом коммерческой тайны в ПАО «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Московский регион».</w:t>
      </w:r>
    </w:p>
    <w:p w:rsidR="003D4261" w:rsidRDefault="003D4261"/>
    <w:p w:rsidR="003D4261" w:rsidRDefault="00495539">
      <w:pPr>
        <w:pStyle w:val="1"/>
        <w:keepNext w:val="0"/>
        <w:keepLines w:val="0"/>
      </w:pPr>
      <w:r>
        <w:t>Стоимость оказания услуг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Стоимость услуг составляет:</w:t>
      </w:r>
    </w:p>
    <w:p w:rsidR="003D4261" w:rsidRDefault="007A1FBB" w:rsidP="007A1FBB">
      <w:pPr>
        <w:pStyle w:val="afb"/>
        <w:numPr>
          <w:ilvl w:val="0"/>
          <w:numId w:val="12"/>
        </w:numPr>
        <w:rPr>
          <w:rFonts w:ascii="Times New Roman" w:eastAsia="Times New Roman" w:hAnsi="Times New Roman"/>
        </w:rPr>
      </w:pPr>
      <w:r w:rsidRPr="007A1FBB">
        <w:rPr>
          <w:rFonts w:ascii="Times New Roman" w:eastAsia="Times New Roman" w:hAnsi="Times New Roman"/>
        </w:rPr>
        <w:t>7 561 996.26</w:t>
      </w:r>
      <w:r w:rsidR="00495539">
        <w:rPr>
          <w:rFonts w:ascii="Times New Roman" w:eastAsia="Times New Roman" w:hAnsi="Times New Roman"/>
        </w:rPr>
        <w:t xml:space="preserve">руб. с НДС, в том числе НДС </w:t>
      </w:r>
      <w:r>
        <w:rPr>
          <w:rFonts w:ascii="Times New Roman" w:eastAsia="Times New Roman" w:hAnsi="Times New Roman"/>
        </w:rPr>
        <w:t>22</w:t>
      </w:r>
      <w:r w:rsidR="00495539">
        <w:rPr>
          <w:rFonts w:ascii="Times New Roman" w:eastAsia="Times New Roman" w:hAnsi="Times New Roman"/>
        </w:rPr>
        <w:t>%.</w:t>
      </w:r>
    </w:p>
    <w:p w:rsidR="003D4261" w:rsidRDefault="003D4261"/>
    <w:p w:rsidR="003D4261" w:rsidRDefault="00495539">
      <w:pPr>
        <w:pStyle w:val="1"/>
        <w:keepNext w:val="0"/>
        <w:keepLines w:val="0"/>
      </w:pPr>
      <w:r>
        <w:t>Порядок оплаты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Оплата принятых услуг производится Заказчиком не более 30 (тридцати) рабочих дней (7-ти рабочих</w:t>
      </w:r>
      <w:r>
        <w:rPr>
          <w:b w:val="0"/>
          <w:bCs w:val="0"/>
        </w:rPr>
        <w:footnoteReference w:customMarkFollows="1" w:id="1"/>
        <w:t>[1]) дней с момента подписания Сторонами акта оказания услуг.</w:t>
      </w:r>
    </w:p>
    <w:p w:rsidR="003D4261" w:rsidRDefault="00495539">
      <w:pPr>
        <w:pStyle w:val="1"/>
        <w:keepNext w:val="0"/>
        <w:keepLines w:val="0"/>
        <w:numPr>
          <w:ilvl w:val="0"/>
          <w:numId w:val="0"/>
        </w:numPr>
        <w:jc w:val="both"/>
        <w:rPr>
          <w:b w:val="0"/>
          <w:bCs w:val="0"/>
        </w:rPr>
      </w:pPr>
      <w:r>
        <w:rPr>
          <w:b w:val="0"/>
          <w:bCs w:val="0"/>
        </w:rPr>
        <w:t>.</w:t>
      </w:r>
    </w:p>
    <w:p w:rsidR="003D4261" w:rsidRDefault="00495539">
      <w:pPr>
        <w:pStyle w:val="1"/>
        <w:keepNext w:val="0"/>
        <w:keepLines w:val="0"/>
      </w:pPr>
      <w:r>
        <w:t>Срок оказания услуг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 xml:space="preserve">Срок оказания услуг – </w:t>
      </w:r>
      <w:r w:rsidR="007A1FBB">
        <w:rPr>
          <w:b w:val="0"/>
          <w:bCs w:val="0"/>
        </w:rPr>
        <w:t xml:space="preserve">12 </w:t>
      </w:r>
      <w:r>
        <w:rPr>
          <w:b w:val="0"/>
          <w:bCs w:val="0"/>
        </w:rPr>
        <w:t xml:space="preserve">месяцев с даты заключения договора. Начало – с момента заключения Договора. </w:t>
      </w:r>
    </w:p>
    <w:p w:rsidR="003D4261" w:rsidRDefault="00495539">
      <w:pPr>
        <w:contextualSpacing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           13.2.   По результатам закупочной процедуры с победителем заключается 1 (один) договор:</w:t>
      </w:r>
    </w:p>
    <w:p w:rsidR="003D4261" w:rsidRDefault="00495539">
      <w:pPr>
        <w:contextualSpacing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- договор на возмездное оказание услуг согласно Приложению №1 к Приказу ПАО «МОЭСК» от 30.12.2019 №1508.</w:t>
      </w:r>
    </w:p>
    <w:p w:rsidR="003D4261" w:rsidRDefault="00495539">
      <w:pPr>
        <w:pStyle w:val="1"/>
        <w:keepNext w:val="0"/>
        <w:keepLines w:val="0"/>
      </w:pPr>
      <w:r>
        <w:t>Оценочные критерии:</w:t>
      </w:r>
    </w:p>
    <w:p w:rsidR="003D4261" w:rsidRDefault="003D4261">
      <w:pPr>
        <w:ind w:firstLine="567"/>
        <w:contextualSpacing/>
        <w:rPr>
          <w:rFonts w:eastAsia="Calibri"/>
          <w:b/>
        </w:rPr>
      </w:pPr>
    </w:p>
    <w:p w:rsidR="003D4261" w:rsidRDefault="00495539">
      <w:pPr>
        <w:ind w:firstLine="567"/>
        <w:jc w:val="center"/>
      </w:pPr>
      <w:r>
        <w:t>Таблица распределения весовых коэффициентов</w:t>
      </w:r>
    </w:p>
    <w:tbl>
      <w:tblPr>
        <w:tblStyle w:val="afa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7230"/>
        <w:gridCol w:w="1701"/>
      </w:tblGrid>
      <w:tr w:rsidR="003D4261">
        <w:trPr>
          <w:trHeight w:val="551"/>
        </w:trPr>
        <w:tc>
          <w:tcPr>
            <w:tcW w:w="562" w:type="dxa"/>
          </w:tcPr>
          <w:p w:rsidR="003D4261" w:rsidRDefault="00495539">
            <w:pPr>
              <w:rPr>
                <w:b/>
              </w:rPr>
            </w:pPr>
            <w:r>
              <w:rPr>
                <w:b/>
              </w:rPr>
              <w:t>№п/п</w:t>
            </w:r>
          </w:p>
        </w:tc>
        <w:tc>
          <w:tcPr>
            <w:tcW w:w="7230" w:type="dxa"/>
          </w:tcPr>
          <w:p w:rsidR="003D4261" w:rsidRDefault="00495539">
            <w:pPr>
              <w:jc w:val="center"/>
              <w:rPr>
                <w:b/>
              </w:rPr>
            </w:pPr>
            <w:r>
              <w:rPr>
                <w:b/>
              </w:rPr>
              <w:t>Критерий оценки</w:t>
            </w:r>
          </w:p>
        </w:tc>
        <w:tc>
          <w:tcPr>
            <w:tcW w:w="1701" w:type="dxa"/>
          </w:tcPr>
          <w:p w:rsidR="003D4261" w:rsidRDefault="00495539">
            <w:pPr>
              <w:jc w:val="center"/>
              <w:rPr>
                <w:b/>
              </w:rPr>
            </w:pPr>
            <w:r>
              <w:rPr>
                <w:b/>
              </w:rPr>
              <w:t>Весовой коэффициент</w:t>
            </w:r>
          </w:p>
        </w:tc>
      </w:tr>
      <w:tr w:rsidR="003D4261">
        <w:trPr>
          <w:trHeight w:val="52"/>
        </w:trPr>
        <w:tc>
          <w:tcPr>
            <w:tcW w:w="562" w:type="dxa"/>
          </w:tcPr>
          <w:p w:rsidR="003D4261" w:rsidRDefault="00495539">
            <w:pPr>
              <w:jc w:val="center"/>
            </w:pPr>
            <w:r>
              <w:rPr>
                <w:bCs/>
                <w:iCs/>
              </w:rPr>
              <w:t>1</w:t>
            </w:r>
          </w:p>
        </w:tc>
        <w:tc>
          <w:tcPr>
            <w:tcW w:w="7230" w:type="dxa"/>
          </w:tcPr>
          <w:p w:rsidR="003D4261" w:rsidRDefault="004955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Ценовой критерий</w:t>
            </w:r>
          </w:p>
        </w:tc>
        <w:tc>
          <w:tcPr>
            <w:tcW w:w="1701" w:type="dxa"/>
          </w:tcPr>
          <w:p w:rsidR="003D4261" w:rsidRDefault="003D4261">
            <w:pPr>
              <w:jc w:val="center"/>
            </w:pPr>
          </w:p>
        </w:tc>
      </w:tr>
      <w:tr w:rsidR="003D4261">
        <w:trPr>
          <w:trHeight w:val="2204"/>
        </w:trPr>
        <w:tc>
          <w:tcPr>
            <w:tcW w:w="562" w:type="dxa"/>
          </w:tcPr>
          <w:p w:rsidR="003D4261" w:rsidRDefault="00495539">
            <w:pPr>
              <w:rPr>
                <w:bCs/>
                <w:iCs/>
                <w:color w:val="FF0000"/>
              </w:rPr>
            </w:pPr>
            <w:r>
              <w:rPr>
                <w:bCs/>
                <w:iCs/>
              </w:rPr>
              <w:t>1.1</w:t>
            </w:r>
          </w:p>
          <w:p w:rsidR="003D4261" w:rsidRDefault="00495539">
            <w:pPr>
              <w:pStyle w:val="afb"/>
              <w:numPr>
                <w:ilvl w:val="0"/>
                <w:numId w:val="2"/>
              </w:numPr>
              <w:ind w:left="0" w:firstLine="567"/>
              <w:rPr>
                <w:rFonts w:ascii="Times New Roman" w:eastAsia="Times New Roman" w:hAnsi="Times New Roman"/>
                <w:bCs/>
                <w:iCs/>
                <w:highlight w:val="yellow"/>
              </w:rPr>
            </w:pPr>
            <w:r>
              <w:rPr>
                <w:bCs/>
                <w:iCs/>
                <w:color w:val="FF0000"/>
                <w:highlight w:val="yellow"/>
              </w:rPr>
              <w:t>.</w:t>
            </w:r>
          </w:p>
          <w:p w:rsidR="003D4261" w:rsidRDefault="003D4261">
            <w:pPr>
              <w:ind w:firstLine="567"/>
              <w:jc w:val="right"/>
            </w:pPr>
          </w:p>
        </w:tc>
        <w:tc>
          <w:tcPr>
            <w:tcW w:w="7230" w:type="dxa"/>
          </w:tcPr>
          <w:p w:rsidR="003D4261" w:rsidRDefault="00495539">
            <w:pPr>
              <w:ind w:firstLine="567"/>
              <w:jc w:val="both"/>
            </w:pPr>
            <w:r>
              <w:t>Оценка участника определяется по формуле:</w:t>
            </w:r>
          </w:p>
          <w:p w:rsidR="003D4261" w:rsidRDefault="00495539">
            <w:pPr>
              <w:ind w:firstLine="567"/>
              <w:jc w:val="both"/>
            </w:pPr>
            <w:r>
              <w:t xml:space="preserve">             </w:t>
            </w:r>
            <w:proofErr w:type="spellStart"/>
            <w:r>
              <w:t>Smax</w:t>
            </w:r>
            <w:proofErr w:type="spellEnd"/>
            <w:r>
              <w:t xml:space="preserve"> - </w:t>
            </w:r>
            <w:proofErr w:type="spellStart"/>
            <w:r>
              <w:t>Si</w:t>
            </w:r>
            <w:proofErr w:type="spellEnd"/>
          </w:p>
          <w:p w:rsidR="003D4261" w:rsidRDefault="00495539">
            <w:pPr>
              <w:ind w:firstLine="567"/>
              <w:jc w:val="both"/>
            </w:pPr>
            <w:proofErr w:type="spellStart"/>
            <w:r>
              <w:t>Rsi</w:t>
            </w:r>
            <w:proofErr w:type="spellEnd"/>
            <w:r>
              <w:t xml:space="preserve">  = --------------- x 100  баллов, где:</w:t>
            </w:r>
          </w:p>
          <w:p w:rsidR="003D4261" w:rsidRDefault="00495539">
            <w:pPr>
              <w:ind w:firstLine="567"/>
              <w:jc w:val="both"/>
            </w:pPr>
            <w:r>
              <w:t xml:space="preserve">             </w:t>
            </w:r>
            <w:proofErr w:type="spellStart"/>
            <w:r>
              <w:t>Smax</w:t>
            </w:r>
            <w:proofErr w:type="spellEnd"/>
            <w:r>
              <w:t xml:space="preserve"> </w:t>
            </w:r>
          </w:p>
          <w:p w:rsidR="003D4261" w:rsidRDefault="00495539">
            <w:pPr>
              <w:ind w:firstLine="567"/>
              <w:jc w:val="both"/>
            </w:pPr>
            <w:proofErr w:type="spellStart"/>
            <w:r>
              <w:t>Rsi</w:t>
            </w:r>
            <w:proofErr w:type="spellEnd"/>
            <w:r>
              <w:t xml:space="preserve">    - рейтинг i-й заявки по критерию стоимости,</w:t>
            </w:r>
          </w:p>
          <w:p w:rsidR="003D4261" w:rsidRDefault="00495539">
            <w:pPr>
              <w:ind w:firstLine="567"/>
              <w:jc w:val="both"/>
            </w:pPr>
            <w:proofErr w:type="spellStart"/>
            <w:r>
              <w:t>Smax</w:t>
            </w:r>
            <w:proofErr w:type="spellEnd"/>
            <w:r>
              <w:t xml:space="preserve">   - начальная (максимальная) цена договора (цена лота),</w:t>
            </w:r>
          </w:p>
          <w:p w:rsidR="003D4261" w:rsidRDefault="00495539">
            <w:pPr>
              <w:ind w:firstLine="567"/>
              <w:jc w:val="both"/>
            </w:pPr>
            <w:proofErr w:type="spellStart"/>
            <w:r>
              <w:t>Si</w:t>
            </w:r>
            <w:proofErr w:type="spellEnd"/>
            <w:r>
              <w:t xml:space="preserve">      - стоимость заявки i-</w:t>
            </w:r>
            <w:proofErr w:type="spellStart"/>
            <w:r>
              <w:t>го</w:t>
            </w:r>
            <w:proofErr w:type="spellEnd"/>
            <w:r>
              <w:t xml:space="preserve"> участника.</w:t>
            </w:r>
          </w:p>
        </w:tc>
        <w:tc>
          <w:tcPr>
            <w:tcW w:w="1701" w:type="dxa"/>
          </w:tcPr>
          <w:p w:rsidR="003D4261" w:rsidRDefault="00495539">
            <w:pPr>
              <w:jc w:val="center"/>
            </w:pPr>
            <w:r>
              <w:t>0,8</w:t>
            </w:r>
          </w:p>
        </w:tc>
      </w:tr>
      <w:tr w:rsidR="003D4261">
        <w:trPr>
          <w:trHeight w:val="333"/>
        </w:trPr>
        <w:tc>
          <w:tcPr>
            <w:tcW w:w="562" w:type="dxa"/>
          </w:tcPr>
          <w:p w:rsidR="003D4261" w:rsidRDefault="00495539">
            <w:pPr>
              <w:jc w:val="center"/>
              <w:rPr>
                <w:b/>
                <w:b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7230" w:type="dxa"/>
          </w:tcPr>
          <w:p w:rsidR="003D4261" w:rsidRDefault="004955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Неценовые критерии</w:t>
            </w:r>
          </w:p>
        </w:tc>
        <w:tc>
          <w:tcPr>
            <w:tcW w:w="1701" w:type="dxa"/>
          </w:tcPr>
          <w:p w:rsidR="003D4261" w:rsidRDefault="003D4261">
            <w:pPr>
              <w:rPr>
                <w:b/>
                <w:bCs/>
              </w:rPr>
            </w:pPr>
          </w:p>
        </w:tc>
      </w:tr>
      <w:tr w:rsidR="003D4261">
        <w:trPr>
          <w:trHeight w:val="983"/>
        </w:trPr>
        <w:tc>
          <w:tcPr>
            <w:tcW w:w="562" w:type="dxa"/>
          </w:tcPr>
          <w:p w:rsidR="003D4261" w:rsidRDefault="00495539">
            <w:r>
              <w:t>2.1</w:t>
            </w:r>
          </w:p>
        </w:tc>
        <w:tc>
          <w:tcPr>
            <w:tcW w:w="7230" w:type="dxa"/>
            <w:vAlign w:val="center"/>
          </w:tcPr>
          <w:p w:rsidR="003D4261" w:rsidRDefault="00495539">
            <w:pPr>
              <w:ind w:firstLine="567"/>
              <w:jc w:val="both"/>
            </w:pPr>
            <w:r>
              <w:t>Опыт выполнения договоров на оказание услуг по обеспечению информационной безопасности на предприятиях энергетической отрасли за последние 3 года, с момента размещения извещения о проведении ТЗП.  Подтверждается копиями договоров и актов выполненных работ, оказанных услуг, заверенными уполномоченным лицом Участника закупочной процедуры.</w:t>
            </w:r>
          </w:p>
          <w:p w:rsidR="003D4261" w:rsidRDefault="00495539">
            <w:pPr>
              <w:ind w:firstLine="567"/>
              <w:jc w:val="both"/>
            </w:pPr>
            <w:r>
              <w:t xml:space="preserve">- Документы не предоставлены/не соответствуют </w:t>
            </w:r>
            <w:r>
              <w:lastRenderedPageBreak/>
              <w:t>требованиям/ предоставлен 1 договор – 0 баллов;</w:t>
            </w:r>
          </w:p>
          <w:p w:rsidR="003D4261" w:rsidRDefault="00495539">
            <w:pPr>
              <w:ind w:firstLine="567"/>
              <w:jc w:val="both"/>
            </w:pPr>
            <w:r>
              <w:t>- Предоставлено от 2 до 24 договоров – 50 баллов;</w:t>
            </w:r>
          </w:p>
          <w:p w:rsidR="003D4261" w:rsidRDefault="00495539">
            <w:pPr>
              <w:ind w:firstLine="567"/>
              <w:jc w:val="both"/>
            </w:pPr>
            <w:r>
              <w:t>- Предоставлено 25 договоров и более – 100 баллов.</w:t>
            </w:r>
          </w:p>
        </w:tc>
        <w:tc>
          <w:tcPr>
            <w:tcW w:w="1701" w:type="dxa"/>
          </w:tcPr>
          <w:p w:rsidR="003D4261" w:rsidRDefault="00495539">
            <w:pPr>
              <w:jc w:val="center"/>
              <w:rPr>
                <w:lang w:val="en-US"/>
              </w:rPr>
            </w:pPr>
            <w:r>
              <w:lastRenderedPageBreak/>
              <w:t>0,05</w:t>
            </w:r>
          </w:p>
        </w:tc>
      </w:tr>
      <w:tr w:rsidR="003D4261">
        <w:trPr>
          <w:trHeight w:val="983"/>
        </w:trPr>
        <w:tc>
          <w:tcPr>
            <w:tcW w:w="562" w:type="dxa"/>
          </w:tcPr>
          <w:p w:rsidR="003D4261" w:rsidRDefault="00495539">
            <w:r>
              <w:t>2.2</w:t>
            </w:r>
          </w:p>
        </w:tc>
        <w:tc>
          <w:tcPr>
            <w:tcW w:w="7230" w:type="dxa"/>
            <w:vAlign w:val="center"/>
          </w:tcPr>
          <w:p w:rsidR="003D4261" w:rsidRDefault="00495539">
            <w:pPr>
              <w:ind w:firstLine="567"/>
              <w:jc w:val="both"/>
            </w:pPr>
            <w:r>
              <w:t>Опыт выполнения договоров на оказание услуг по разработке комплектов организационно-распорядительных и нормативно-методических документов (ОРД и НМД) в соответствии с требованиями ФЗ-187 ФЗ-152 на предприятиях энергетической отрасли за последние 3 года, с момента размещения извещения о проведении ТЗП.  Подтверждается копиями договоров и актов выполненных работ, оказанных услуг, заверенными уполномоченным лицом Участника закупочной процедуры.</w:t>
            </w:r>
          </w:p>
          <w:p w:rsidR="003D4261" w:rsidRDefault="00495539">
            <w:pPr>
              <w:ind w:firstLine="567"/>
              <w:jc w:val="both"/>
            </w:pPr>
            <w:r>
              <w:t>- Документы не предоставлены/не соответствуют требованиям – 0 баллов;</w:t>
            </w:r>
          </w:p>
          <w:p w:rsidR="003D4261" w:rsidRDefault="00495539">
            <w:pPr>
              <w:ind w:firstLine="567"/>
              <w:jc w:val="both"/>
            </w:pPr>
            <w:r>
              <w:t>- Предоставлен 1 договор – 50 баллов;</w:t>
            </w:r>
          </w:p>
          <w:p w:rsidR="003D4261" w:rsidRDefault="00495539">
            <w:pPr>
              <w:ind w:firstLine="567"/>
              <w:jc w:val="both"/>
            </w:pPr>
            <w:r>
              <w:t>- Предоставлено 2 договора и более – 100 баллов.</w:t>
            </w:r>
          </w:p>
        </w:tc>
        <w:tc>
          <w:tcPr>
            <w:tcW w:w="1701" w:type="dxa"/>
          </w:tcPr>
          <w:p w:rsidR="003D4261" w:rsidRDefault="00495539">
            <w:pPr>
              <w:jc w:val="center"/>
            </w:pPr>
            <w:r>
              <w:t>0,05</w:t>
            </w:r>
          </w:p>
        </w:tc>
      </w:tr>
      <w:tr w:rsidR="003D4261">
        <w:trPr>
          <w:trHeight w:val="144"/>
        </w:trPr>
        <w:tc>
          <w:tcPr>
            <w:tcW w:w="562" w:type="dxa"/>
          </w:tcPr>
          <w:p w:rsidR="003D4261" w:rsidRDefault="00495539">
            <w:pPr>
              <w:rPr>
                <w:lang w:val="en-US"/>
              </w:rPr>
            </w:pPr>
            <w:r>
              <w:t>2.</w:t>
            </w:r>
            <w:r>
              <w:rPr>
                <w:lang w:val="en-US"/>
              </w:rPr>
              <w:t>3</w:t>
            </w:r>
          </w:p>
        </w:tc>
        <w:tc>
          <w:tcPr>
            <w:tcW w:w="7230" w:type="dxa"/>
            <w:vAlign w:val="center"/>
          </w:tcPr>
          <w:p w:rsidR="003D4261" w:rsidRDefault="00495539">
            <w:pPr>
              <w:ind w:firstLine="567"/>
              <w:jc w:val="both"/>
            </w:pPr>
            <w:r>
              <w:t>Иметь специалистов, перечисленных в пункте 6.3 ТЗ. Подтверждается копией аттестата о высшем образовании по направлению информационной безопасности, защиты информации, либо копией свидетельства о прохождении курсов повышения квалификации или переподготовки.</w:t>
            </w:r>
          </w:p>
          <w:p w:rsidR="003D4261" w:rsidRDefault="00495539">
            <w:pPr>
              <w:ind w:firstLine="567"/>
              <w:jc w:val="both"/>
            </w:pPr>
            <w:r>
              <w:t>- 3 специалиста – 0 баллов;</w:t>
            </w:r>
          </w:p>
          <w:p w:rsidR="003D4261" w:rsidRDefault="00495539">
            <w:pPr>
              <w:ind w:firstLine="567"/>
              <w:jc w:val="both"/>
            </w:pPr>
            <w:r>
              <w:t>- от 4 до 5 специалистов – 50 баллов;</w:t>
            </w:r>
          </w:p>
          <w:p w:rsidR="003D4261" w:rsidRDefault="00495539">
            <w:pPr>
              <w:ind w:firstLine="567"/>
              <w:jc w:val="both"/>
            </w:pPr>
            <w:r>
              <w:t>- 6 специалистов и более – 100 баллов.</w:t>
            </w:r>
          </w:p>
        </w:tc>
        <w:tc>
          <w:tcPr>
            <w:tcW w:w="1701" w:type="dxa"/>
          </w:tcPr>
          <w:p w:rsidR="003D4261" w:rsidRDefault="00495539">
            <w:pPr>
              <w:jc w:val="center"/>
            </w:pPr>
            <w:r>
              <w:t>0,1</w:t>
            </w:r>
          </w:p>
        </w:tc>
      </w:tr>
      <w:tr w:rsidR="003D4261">
        <w:trPr>
          <w:trHeight w:val="340"/>
        </w:trPr>
        <w:tc>
          <w:tcPr>
            <w:tcW w:w="562" w:type="dxa"/>
          </w:tcPr>
          <w:p w:rsidR="003D4261" w:rsidRDefault="003D4261">
            <w:pPr>
              <w:ind w:firstLine="567"/>
              <w:jc w:val="right"/>
            </w:pPr>
          </w:p>
        </w:tc>
        <w:tc>
          <w:tcPr>
            <w:tcW w:w="7230" w:type="dxa"/>
            <w:vAlign w:val="center"/>
          </w:tcPr>
          <w:p w:rsidR="003D4261" w:rsidRDefault="00495539">
            <w:pPr>
              <w:ind w:firstLine="567"/>
              <w:jc w:val="both"/>
            </w:pPr>
            <w:r>
              <w:rPr>
                <w:b/>
                <w:bCs/>
              </w:rPr>
              <w:t>Итого по всем разделам</w:t>
            </w:r>
          </w:p>
        </w:tc>
        <w:tc>
          <w:tcPr>
            <w:tcW w:w="1701" w:type="dxa"/>
            <w:vAlign w:val="center"/>
          </w:tcPr>
          <w:p w:rsidR="003D4261" w:rsidRDefault="00495539">
            <w:pPr>
              <w:jc w:val="center"/>
            </w:pPr>
            <w:r>
              <w:rPr>
                <w:b/>
                <w:bCs/>
              </w:rPr>
              <w:t>1</w:t>
            </w:r>
          </w:p>
        </w:tc>
      </w:tr>
    </w:tbl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:rsidR="003D4261" w:rsidRDefault="00495539">
      <w:pPr>
        <w:tabs>
          <w:tab w:val="left" w:pos="851"/>
        </w:tabs>
        <w:spacing w:before="60" w:after="60"/>
        <w:ind w:firstLine="567"/>
        <w:contextualSpacing/>
        <w:jc w:val="both"/>
      </w:pPr>
      <w:proofErr w:type="spellStart"/>
      <w:r>
        <w:rPr>
          <w:lang w:val="en-US"/>
        </w:rPr>
        <w:t>Ri</w:t>
      </w:r>
      <w:proofErr w:type="spellEnd"/>
      <w:proofErr w:type="gramStart"/>
      <w:r>
        <w:t>=(</w:t>
      </w:r>
      <w:proofErr w:type="gramEnd"/>
      <w:r>
        <w:rPr>
          <w:lang w:val="en-US"/>
        </w:rPr>
        <w:t>R</w:t>
      </w:r>
      <w:r>
        <w:t xml:space="preserve">1 </w:t>
      </w:r>
      <w:r>
        <w:rPr>
          <w:lang w:val="en-US"/>
        </w:rPr>
        <w:t>x</w:t>
      </w:r>
      <w:r>
        <w:t xml:space="preserve"> </w:t>
      </w:r>
      <w:r>
        <w:rPr>
          <w:lang w:val="en-US"/>
        </w:rPr>
        <w:t>V</w:t>
      </w:r>
      <w:r>
        <w:t>1) + …+ (</w:t>
      </w:r>
      <w:r>
        <w:rPr>
          <w:lang w:val="en-US"/>
        </w:rPr>
        <w:t>Rm</w:t>
      </w:r>
      <w:r>
        <w:t xml:space="preserve"> </w:t>
      </w:r>
      <w:r>
        <w:rPr>
          <w:lang w:val="en-US"/>
        </w:rPr>
        <w:t>x</w:t>
      </w:r>
      <w:r>
        <w:t xml:space="preserve"> </w:t>
      </w:r>
      <w:proofErr w:type="spellStart"/>
      <w:r>
        <w:rPr>
          <w:lang w:val="en-US"/>
        </w:rPr>
        <w:t>Vm</w:t>
      </w:r>
      <w:proofErr w:type="spellEnd"/>
      <w:r>
        <w:t>), где:</w:t>
      </w:r>
    </w:p>
    <w:p w:rsidR="003D4261" w:rsidRDefault="00495539">
      <w:pPr>
        <w:tabs>
          <w:tab w:val="left" w:pos="851"/>
        </w:tabs>
        <w:spacing w:before="60" w:after="60"/>
        <w:ind w:firstLine="567"/>
        <w:contextualSpacing/>
        <w:jc w:val="both"/>
      </w:pPr>
      <w:proofErr w:type="spellStart"/>
      <w:proofErr w:type="gramStart"/>
      <w:r>
        <w:rPr>
          <w:lang w:val="en-US"/>
        </w:rPr>
        <w:t>Ri</w:t>
      </w:r>
      <w:proofErr w:type="spellEnd"/>
      <w:proofErr w:type="gramEnd"/>
      <w:r>
        <w:t xml:space="preserve"> – общий рейтинг предпочтительности </w:t>
      </w:r>
      <w:proofErr w:type="spellStart"/>
      <w:r>
        <w:rPr>
          <w:lang w:val="en-US"/>
        </w:rPr>
        <w:t>i</w:t>
      </w:r>
      <w:proofErr w:type="spellEnd"/>
      <w:r>
        <w:t>-й заявки;</w:t>
      </w:r>
    </w:p>
    <w:p w:rsidR="003D4261" w:rsidRDefault="00495539">
      <w:pPr>
        <w:tabs>
          <w:tab w:val="left" w:pos="851"/>
        </w:tabs>
        <w:spacing w:before="60" w:after="60"/>
        <w:ind w:firstLine="567"/>
        <w:contextualSpacing/>
        <w:jc w:val="both"/>
      </w:pPr>
      <w:r>
        <w:rPr>
          <w:lang w:val="en-US"/>
        </w:rPr>
        <w:t>R</w:t>
      </w:r>
      <w:r>
        <w:t>1</w:t>
      </w:r>
      <w:proofErr w:type="gramStart"/>
      <w:r>
        <w:t>, …,</w:t>
      </w:r>
      <w:proofErr w:type="gramEnd"/>
      <w:r>
        <w:t xml:space="preserve"> </w:t>
      </w:r>
      <w:r>
        <w:rPr>
          <w:lang w:val="en-US"/>
        </w:rPr>
        <w:t>Rm</w:t>
      </w:r>
      <w:r>
        <w:t xml:space="preserve"> – оценка в баллах по соответствующему критерию</w:t>
      </w:r>
    </w:p>
    <w:p w:rsidR="003D4261" w:rsidRDefault="00495539">
      <w:pPr>
        <w:tabs>
          <w:tab w:val="left" w:pos="851"/>
        </w:tabs>
        <w:spacing w:before="60" w:after="60"/>
        <w:ind w:firstLine="567"/>
        <w:contextualSpacing/>
        <w:jc w:val="both"/>
      </w:pPr>
      <w:proofErr w:type="gramStart"/>
      <w:r>
        <w:rPr>
          <w:lang w:val="en-US"/>
        </w:rPr>
        <w:t>V</w:t>
      </w:r>
      <w:r>
        <w:t>1, …</w:t>
      </w:r>
      <w:proofErr w:type="gramEnd"/>
      <w:r>
        <w:t xml:space="preserve"> </w:t>
      </w:r>
      <w:proofErr w:type="spellStart"/>
      <w:r>
        <w:rPr>
          <w:lang w:val="en-US"/>
        </w:rPr>
        <w:t>Vm</w:t>
      </w:r>
      <w:proofErr w:type="spellEnd"/>
      <w:r>
        <w:t xml:space="preserve"> – весовые коэффициенты соответствующих критериев.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 xml:space="preserve">При осуществлении расчета значения по каждому критерию Заказчик вправе осуществлять расчет с точностью </w:t>
      </w:r>
      <w:r w:rsidR="008147CA">
        <w:rPr>
          <w:b w:val="0"/>
          <w:bCs w:val="0"/>
        </w:rPr>
        <w:t>до трех</w:t>
      </w:r>
      <w:r>
        <w:rPr>
          <w:b w:val="0"/>
          <w:bCs w:val="0"/>
        </w:rPr>
        <w:t xml:space="preserve">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:rsidR="003D4261" w:rsidRDefault="00495539">
      <w:pPr>
        <w:pStyle w:val="1"/>
        <w:keepNext w:val="0"/>
        <w:keepLines w:val="0"/>
        <w:numPr>
          <w:ilvl w:val="1"/>
          <w:numId w:val="11"/>
        </w:numPr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3D4261" w:rsidRDefault="003D4261">
      <w:pPr>
        <w:ind w:firstLine="567"/>
        <w:rPr>
          <w:b/>
        </w:rPr>
      </w:pPr>
      <w:bookmarkStart w:id="5" w:name="_GoBack"/>
      <w:bookmarkEnd w:id="5"/>
    </w:p>
    <w:p w:rsidR="003D4261" w:rsidRDefault="00495539">
      <w:pPr>
        <w:rPr>
          <w:b/>
        </w:rPr>
      </w:pPr>
      <w:r>
        <w:rPr>
          <w:b/>
        </w:rPr>
        <w:t xml:space="preserve">Заместитель директора департамента – </w:t>
      </w:r>
    </w:p>
    <w:p w:rsidR="003D4261" w:rsidRDefault="00495539">
      <w:pPr>
        <w:rPr>
          <w:b/>
        </w:rPr>
      </w:pPr>
      <w:r>
        <w:rPr>
          <w:b/>
        </w:rPr>
        <w:t>начальник управления</w:t>
      </w:r>
    </w:p>
    <w:p w:rsidR="003D4261" w:rsidRDefault="00495539">
      <w:pPr>
        <w:rPr>
          <w:b/>
        </w:rPr>
      </w:pPr>
      <w:r>
        <w:rPr>
          <w:b/>
        </w:rPr>
        <w:t xml:space="preserve">информационной безопасности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В.А. Андрианов</w:t>
      </w:r>
    </w:p>
    <w:sectPr w:rsidR="003D4261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1EA" w:rsidRDefault="009F41EA">
      <w:r>
        <w:separator/>
      </w:r>
    </w:p>
  </w:endnote>
  <w:endnote w:type="continuationSeparator" w:id="0">
    <w:p w:rsidR="009F41EA" w:rsidRDefault="009F4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1EA" w:rsidRDefault="009F41EA">
      <w:r>
        <w:separator/>
      </w:r>
    </w:p>
  </w:footnote>
  <w:footnote w:type="continuationSeparator" w:id="0">
    <w:p w:rsidR="009F41EA" w:rsidRDefault="009F41EA">
      <w:r>
        <w:continuationSeparator/>
      </w:r>
    </w:p>
  </w:footnote>
  <w:footnote w:id="1">
    <w:p w:rsidR="003D4261" w:rsidRDefault="00495539">
      <w:pPr>
        <w:pStyle w:val="af7"/>
      </w:pPr>
      <w:r>
        <w:rPr>
          <w:rStyle w:val="af9"/>
        </w:rPr>
        <w:t>[1]</w:t>
      </w:r>
      <w:r>
        <w:t xml:space="preserve"> Для субъектов малого и среднего предпринимательства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6C5A"/>
    <w:multiLevelType w:val="hybridMultilevel"/>
    <w:tmpl w:val="FF88C5EC"/>
    <w:lvl w:ilvl="0" w:tplc="6A4C7504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8C5ADE9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0A8263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5DE801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F014D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A880EA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F665DB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63808A4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0A45B5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494C62"/>
    <w:multiLevelType w:val="hybridMultilevel"/>
    <w:tmpl w:val="3C94530C"/>
    <w:lvl w:ilvl="0" w:tplc="7D78FFA8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</w:lvl>
    <w:lvl w:ilvl="1" w:tplc="59ACAD5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D96833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39E9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D9C42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C6215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2BAC4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014EA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982AA8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FD7521A"/>
    <w:multiLevelType w:val="hybridMultilevel"/>
    <w:tmpl w:val="F5CAE366"/>
    <w:lvl w:ilvl="0" w:tplc="835E1522">
      <w:start w:val="1"/>
      <w:numFmt w:val="decimal"/>
      <w:pStyle w:val="-"/>
      <w:lvlText w:val="%1."/>
      <w:lvlJc w:val="left"/>
      <w:pPr>
        <w:ind w:left="988" w:hanging="675"/>
      </w:pPr>
    </w:lvl>
    <w:lvl w:ilvl="1" w:tplc="0C462184">
      <w:start w:val="1"/>
      <w:numFmt w:val="lowerLetter"/>
      <w:lvlText w:val="%2."/>
      <w:lvlJc w:val="left"/>
      <w:pPr>
        <w:ind w:left="1393" w:hanging="360"/>
      </w:pPr>
    </w:lvl>
    <w:lvl w:ilvl="2" w:tplc="18B643E8">
      <w:start w:val="1"/>
      <w:numFmt w:val="lowerRoman"/>
      <w:lvlText w:val="%3."/>
      <w:lvlJc w:val="right"/>
      <w:pPr>
        <w:ind w:left="2113" w:hanging="180"/>
      </w:pPr>
    </w:lvl>
    <w:lvl w:ilvl="3" w:tplc="7840C0A0">
      <w:start w:val="1"/>
      <w:numFmt w:val="decimal"/>
      <w:lvlText w:val="%4."/>
      <w:lvlJc w:val="left"/>
      <w:pPr>
        <w:ind w:left="2833" w:hanging="360"/>
      </w:pPr>
    </w:lvl>
    <w:lvl w:ilvl="4" w:tplc="6B924588">
      <w:start w:val="1"/>
      <w:numFmt w:val="lowerLetter"/>
      <w:lvlText w:val="%5."/>
      <w:lvlJc w:val="left"/>
      <w:pPr>
        <w:ind w:left="3553" w:hanging="360"/>
      </w:pPr>
    </w:lvl>
    <w:lvl w:ilvl="5" w:tplc="CA1880D2">
      <w:start w:val="1"/>
      <w:numFmt w:val="lowerRoman"/>
      <w:lvlText w:val="%6."/>
      <w:lvlJc w:val="right"/>
      <w:pPr>
        <w:ind w:left="4273" w:hanging="180"/>
      </w:pPr>
    </w:lvl>
    <w:lvl w:ilvl="6" w:tplc="856866C8">
      <w:start w:val="1"/>
      <w:numFmt w:val="decimal"/>
      <w:lvlText w:val="%7."/>
      <w:lvlJc w:val="left"/>
      <w:pPr>
        <w:ind w:left="4993" w:hanging="360"/>
      </w:pPr>
    </w:lvl>
    <w:lvl w:ilvl="7" w:tplc="84D68C86">
      <w:start w:val="1"/>
      <w:numFmt w:val="lowerLetter"/>
      <w:lvlText w:val="%8."/>
      <w:lvlJc w:val="left"/>
      <w:pPr>
        <w:ind w:left="5713" w:hanging="360"/>
      </w:pPr>
    </w:lvl>
    <w:lvl w:ilvl="8" w:tplc="57E207C8">
      <w:start w:val="1"/>
      <w:numFmt w:val="lowerRoman"/>
      <w:lvlText w:val="%9."/>
      <w:lvlJc w:val="right"/>
      <w:pPr>
        <w:ind w:left="6433" w:hanging="180"/>
      </w:pPr>
    </w:lvl>
  </w:abstractNum>
  <w:abstractNum w:abstractNumId="3" w15:restartNumberingAfterBreak="0">
    <w:nsid w:val="23647D7E"/>
    <w:multiLevelType w:val="multilevel"/>
    <w:tmpl w:val="546C21FC"/>
    <w:lvl w:ilvl="0">
      <w:start w:val="1"/>
      <w:numFmt w:val="decimal"/>
      <w:pStyle w:val="1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4" w15:restartNumberingAfterBreak="0">
    <w:nsid w:val="323E228E"/>
    <w:multiLevelType w:val="multilevel"/>
    <w:tmpl w:val="171CD1E4"/>
    <w:styleLink w:val="3"/>
    <w:lvl w:ilvl="0">
      <w:start w:val="1"/>
      <w:numFmt w:val="decimal"/>
      <w:pStyle w:val="3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EA32F2C"/>
    <w:multiLevelType w:val="multilevel"/>
    <w:tmpl w:val="92DA361A"/>
    <w:styleLink w:val="313"/>
    <w:lvl w:ilvl="0">
      <w:start w:val="3"/>
      <w:numFmt w:val="decimal"/>
      <w:pStyle w:val="313"/>
      <w:lvlText w:val="%1"/>
      <w:lvlJc w:val="left"/>
      <w:pPr>
        <w:tabs>
          <w:tab w:val="num" w:pos="1281"/>
        </w:tabs>
        <w:ind w:left="0" w:firstLine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0" w:firstLine="851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71"/>
        </w:tabs>
        <w:ind w:left="0" w:firstLine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2"/>
        </w:tabs>
        <w:ind w:left="0" w:firstLine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2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9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0" w:firstLine="851"/>
      </w:pPr>
      <w:rPr>
        <w:rFonts w:hint="default"/>
      </w:rPr>
    </w:lvl>
  </w:abstractNum>
  <w:abstractNum w:abstractNumId="6" w15:restartNumberingAfterBreak="0">
    <w:nsid w:val="497D137B"/>
    <w:multiLevelType w:val="hybridMultilevel"/>
    <w:tmpl w:val="25160D66"/>
    <w:lvl w:ilvl="0" w:tplc="7DB4EE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92CFA3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D6C87D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4CE3D5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40C198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A4A3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ED9AF40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FEC915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C66A16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B8C0997"/>
    <w:multiLevelType w:val="multilevel"/>
    <w:tmpl w:val="0BF87A50"/>
    <w:styleLink w:val="2"/>
    <w:lvl w:ilvl="0">
      <w:start w:val="1"/>
      <w:numFmt w:val="decimal"/>
      <w:pStyle w:val="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08499B"/>
    <w:multiLevelType w:val="hybridMultilevel"/>
    <w:tmpl w:val="EE62C842"/>
    <w:lvl w:ilvl="0" w:tplc="465CC83A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16F0351E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FD2175C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94806988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E6003B92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CC44F51A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69DA3B06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D46A676C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31340B90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580F7A4E"/>
    <w:multiLevelType w:val="hybridMultilevel"/>
    <w:tmpl w:val="AE547562"/>
    <w:styleLink w:val="10"/>
    <w:lvl w:ilvl="0" w:tplc="CD166972">
      <w:start w:val="1"/>
      <w:numFmt w:val="decimal"/>
      <w:pStyle w:val="10"/>
      <w:lvlText w:val="%1."/>
      <w:lvlJc w:val="left"/>
      <w:pPr>
        <w:ind w:left="784" w:hanging="360"/>
      </w:pPr>
    </w:lvl>
    <w:lvl w:ilvl="1" w:tplc="9D88D39E">
      <w:start w:val="1"/>
      <w:numFmt w:val="bullet"/>
      <w:lvlText w:val="o"/>
      <w:lvlJc w:val="left"/>
      <w:pPr>
        <w:ind w:left="1504" w:hanging="360"/>
      </w:pPr>
      <w:rPr>
        <w:rFonts w:ascii="Courier New" w:eastAsia="Courier New" w:hAnsi="Courier New" w:cs="Courier New"/>
      </w:rPr>
    </w:lvl>
    <w:lvl w:ilvl="2" w:tplc="0950B570">
      <w:start w:val="1"/>
      <w:numFmt w:val="bullet"/>
      <w:lvlText w:val="▪"/>
      <w:lvlJc w:val="left"/>
      <w:pPr>
        <w:ind w:left="2224" w:hanging="360"/>
      </w:pPr>
      <w:rPr>
        <w:rFonts w:ascii="Noto Sans Symbols" w:eastAsia="Noto Sans Symbols" w:hAnsi="Noto Sans Symbols" w:cs="Noto Sans Symbols"/>
      </w:rPr>
    </w:lvl>
    <w:lvl w:ilvl="3" w:tplc="0CC64984">
      <w:start w:val="1"/>
      <w:numFmt w:val="bullet"/>
      <w:lvlText w:val="●"/>
      <w:lvlJc w:val="left"/>
      <w:pPr>
        <w:ind w:left="2944" w:hanging="360"/>
      </w:pPr>
      <w:rPr>
        <w:rFonts w:ascii="Noto Sans Symbols" w:eastAsia="Noto Sans Symbols" w:hAnsi="Noto Sans Symbols" w:cs="Noto Sans Symbols"/>
      </w:rPr>
    </w:lvl>
    <w:lvl w:ilvl="4" w:tplc="E49A7A82">
      <w:start w:val="1"/>
      <w:numFmt w:val="bullet"/>
      <w:lvlText w:val="o"/>
      <w:lvlJc w:val="left"/>
      <w:pPr>
        <w:ind w:left="3664" w:hanging="360"/>
      </w:pPr>
      <w:rPr>
        <w:rFonts w:ascii="Courier New" w:eastAsia="Courier New" w:hAnsi="Courier New" w:cs="Courier New"/>
      </w:rPr>
    </w:lvl>
    <w:lvl w:ilvl="5" w:tplc="6D3872D8">
      <w:start w:val="1"/>
      <w:numFmt w:val="bullet"/>
      <w:lvlText w:val="▪"/>
      <w:lvlJc w:val="left"/>
      <w:pPr>
        <w:ind w:left="4384" w:hanging="360"/>
      </w:pPr>
      <w:rPr>
        <w:rFonts w:ascii="Noto Sans Symbols" w:eastAsia="Noto Sans Symbols" w:hAnsi="Noto Sans Symbols" w:cs="Noto Sans Symbols"/>
      </w:rPr>
    </w:lvl>
    <w:lvl w:ilvl="6" w:tplc="62000D68">
      <w:start w:val="1"/>
      <w:numFmt w:val="bullet"/>
      <w:lvlText w:val="●"/>
      <w:lvlJc w:val="left"/>
      <w:pPr>
        <w:ind w:left="5104" w:hanging="360"/>
      </w:pPr>
      <w:rPr>
        <w:rFonts w:ascii="Noto Sans Symbols" w:eastAsia="Noto Sans Symbols" w:hAnsi="Noto Sans Symbols" w:cs="Noto Sans Symbols"/>
      </w:rPr>
    </w:lvl>
    <w:lvl w:ilvl="7" w:tplc="AA924C94">
      <w:start w:val="1"/>
      <w:numFmt w:val="bullet"/>
      <w:lvlText w:val="o"/>
      <w:lvlJc w:val="left"/>
      <w:pPr>
        <w:ind w:left="5824" w:hanging="360"/>
      </w:pPr>
      <w:rPr>
        <w:rFonts w:ascii="Courier New" w:eastAsia="Courier New" w:hAnsi="Courier New" w:cs="Courier New"/>
      </w:rPr>
    </w:lvl>
    <w:lvl w:ilvl="8" w:tplc="2B2EF006">
      <w:start w:val="1"/>
      <w:numFmt w:val="bullet"/>
      <w:lvlText w:val="▪"/>
      <w:lvlJc w:val="left"/>
      <w:pPr>
        <w:ind w:left="654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1AF4B2A"/>
    <w:multiLevelType w:val="multilevel"/>
    <w:tmpl w:val="EED028B6"/>
    <w:styleLink w:val="4"/>
    <w:lvl w:ilvl="0">
      <w:start w:val="1"/>
      <w:numFmt w:val="decimal"/>
      <w:pStyle w:val="4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2B7485F"/>
    <w:multiLevelType w:val="hybridMultilevel"/>
    <w:tmpl w:val="6122AEDE"/>
    <w:lvl w:ilvl="0" w:tplc="FA0073C0">
      <w:start w:val="1"/>
      <w:numFmt w:val="bullet"/>
      <w:pStyle w:val="a0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  <w:color w:val="auto"/>
      </w:rPr>
    </w:lvl>
    <w:lvl w:ilvl="1" w:tplc="FD14B31E">
      <w:start w:val="1"/>
      <w:numFmt w:val="bullet"/>
      <w:lvlText w:val=""/>
      <w:lvlJc w:val="left"/>
      <w:pPr>
        <w:tabs>
          <w:tab w:val="num" w:pos="2061"/>
        </w:tabs>
        <w:ind w:left="851" w:firstLine="850"/>
      </w:pPr>
      <w:rPr>
        <w:rFonts w:ascii="Symbol" w:hAnsi="Symbol" w:hint="default"/>
        <w:color w:val="auto"/>
      </w:rPr>
    </w:lvl>
    <w:lvl w:ilvl="2" w:tplc="293425BE">
      <w:start w:val="1"/>
      <w:numFmt w:val="bullet"/>
      <w:lvlText w:val=""/>
      <w:lvlJc w:val="left"/>
      <w:pPr>
        <w:tabs>
          <w:tab w:val="num" w:pos="2912"/>
        </w:tabs>
        <w:ind w:left="1701" w:firstLine="851"/>
      </w:pPr>
      <w:rPr>
        <w:rFonts w:ascii="Symbol" w:hAnsi="Symbol" w:hint="default"/>
        <w:color w:val="auto"/>
      </w:rPr>
    </w:lvl>
    <w:lvl w:ilvl="3" w:tplc="5712A0CA">
      <w:start w:val="1"/>
      <w:numFmt w:val="bullet"/>
      <w:lvlText w:val=""/>
      <w:lvlJc w:val="left"/>
      <w:pPr>
        <w:tabs>
          <w:tab w:val="num" w:pos="3762"/>
        </w:tabs>
        <w:ind w:left="2552" w:firstLine="850"/>
      </w:pPr>
      <w:rPr>
        <w:rFonts w:ascii="Symbol" w:hAnsi="Symbol" w:hint="default"/>
        <w:color w:val="auto"/>
      </w:rPr>
    </w:lvl>
    <w:lvl w:ilvl="4" w:tplc="FDD45DDC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plc="4732DF2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27AAEC8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 w:tplc="0B9E30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 w:tplc="F2CAC6AE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9E96F3F"/>
    <w:multiLevelType w:val="multilevel"/>
    <w:tmpl w:val="2CE0FAF2"/>
    <w:styleLink w:val="5"/>
    <w:lvl w:ilvl="0">
      <w:start w:val="1"/>
      <w:numFmt w:val="decimal"/>
      <w:pStyle w:val="5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right"/>
      <w:pPr>
        <w:ind w:left="0" w:firstLine="1191"/>
      </w:pPr>
      <w:rPr>
        <w:rFonts w:ascii="Times New Roman" w:hAnsi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ADD70FC"/>
    <w:multiLevelType w:val="multilevel"/>
    <w:tmpl w:val="AE9E88F6"/>
    <w:styleLink w:val="31"/>
    <w:lvl w:ilvl="0">
      <w:start w:val="3"/>
      <w:numFmt w:val="decimal"/>
      <w:pStyle w:val="31"/>
      <w:lvlText w:val="%1"/>
      <w:lvlJc w:val="left"/>
      <w:pPr>
        <w:tabs>
          <w:tab w:val="num" w:pos="1281"/>
        </w:tabs>
        <w:ind w:left="0" w:firstLine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0" w:firstLine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0" w:firstLine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2"/>
        </w:tabs>
        <w:ind w:left="0" w:firstLine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2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9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0" w:firstLine="851"/>
      </w:pPr>
      <w:rPr>
        <w:rFonts w:hint="default"/>
      </w:rPr>
    </w:lvl>
  </w:abstractNum>
  <w:abstractNum w:abstractNumId="14" w15:restartNumberingAfterBreak="0">
    <w:nsid w:val="74802627"/>
    <w:multiLevelType w:val="multilevel"/>
    <w:tmpl w:val="CD76BD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7CB164C6"/>
    <w:multiLevelType w:val="multilevel"/>
    <w:tmpl w:val="10B8C8E2"/>
    <w:styleLink w:val="50"/>
    <w:lvl w:ilvl="0">
      <w:start w:val="1"/>
      <w:numFmt w:val="decimal"/>
      <w:pStyle w:val="50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3"/>
  </w:num>
  <w:num w:numId="5">
    <w:abstractNumId w:val="5"/>
  </w:num>
  <w:num w:numId="6">
    <w:abstractNumId w:val="9"/>
  </w:num>
  <w:num w:numId="7">
    <w:abstractNumId w:val="7"/>
  </w:num>
  <w:num w:numId="8">
    <w:abstractNumId w:val="4"/>
  </w:num>
  <w:num w:numId="9">
    <w:abstractNumId w:val="10"/>
  </w:num>
  <w:num w:numId="10">
    <w:abstractNumId w:val="15"/>
  </w:num>
  <w:num w:numId="11">
    <w:abstractNumId w:val="3"/>
  </w:num>
  <w:num w:numId="12">
    <w:abstractNumId w:val="0"/>
  </w:num>
  <w:num w:numId="13">
    <w:abstractNumId w:val="12"/>
  </w:num>
  <w:num w:numId="14">
    <w:abstractNumId w:val="6"/>
  </w:num>
  <w:num w:numId="15">
    <w:abstractNumId w:val="1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14"/>
  </w:num>
  <w:num w:numId="28">
    <w:abstractNumId w:val="1"/>
  </w:num>
  <w:num w:numId="29">
    <w:abstractNumId w:val="3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61"/>
    <w:rsid w:val="003D4261"/>
    <w:rsid w:val="00495539"/>
    <w:rsid w:val="00601CBB"/>
    <w:rsid w:val="007A1FBB"/>
    <w:rsid w:val="008147CA"/>
    <w:rsid w:val="009F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5BFA1"/>
  <w15:docId w15:val="{C7C54AC7-FC1F-4183-B86B-4D62CB883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1"/>
    <w:uiPriority w:val="9"/>
    <w:qFormat/>
    <w:pPr>
      <w:keepNext/>
      <w:keepLines/>
      <w:numPr>
        <w:numId w:val="11"/>
      </w:numPr>
      <w:spacing w:before="120" w:after="120"/>
      <w:outlineLvl w:val="0"/>
    </w:pPr>
    <w:rPr>
      <w:b/>
      <w:bCs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0">
    <w:name w:val="heading 3"/>
    <w:basedOn w:val="a1"/>
    <w:next w:val="a1"/>
    <w:link w:val="32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0">
    <w:name w:val="heading 4"/>
    <w:basedOn w:val="a1"/>
    <w:next w:val="a1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1">
    <w:name w:val="heading 5"/>
    <w:basedOn w:val="a1"/>
    <w:next w:val="a1"/>
    <w:link w:val="52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2">
    <w:name w:val="Заголовок 3 Знак"/>
    <w:basedOn w:val="a2"/>
    <w:link w:val="3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1">
    <w:name w:val="Заголовок 4 Знак"/>
    <w:basedOn w:val="a2"/>
    <w:link w:val="4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2">
    <w:name w:val="Заголовок 5 Знак"/>
    <w:basedOn w:val="a2"/>
    <w:link w:val="51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2"/>
    <w:link w:val="a8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1"/>
    <w:next w:val="a1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c">
    <w:name w:val="caption"/>
    <w:basedOn w:val="a1"/>
    <w:next w:val="a1"/>
    <w:link w:val="a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2"/>
    <w:link w:val="ac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1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2"/>
    <w:uiPriority w:val="99"/>
    <w:semiHidden/>
    <w:unhideWhenUsed/>
    <w:rPr>
      <w:vertAlign w:val="superscript"/>
    </w:rPr>
  </w:style>
  <w:style w:type="paragraph" w:styleId="12">
    <w:name w:val="toc 1"/>
    <w:basedOn w:val="a1"/>
    <w:next w:val="a1"/>
    <w:uiPriority w:val="39"/>
    <w:unhideWhenUsed/>
    <w:pPr>
      <w:spacing w:after="57"/>
    </w:pPr>
  </w:style>
  <w:style w:type="paragraph" w:styleId="24">
    <w:name w:val="toc 2"/>
    <w:basedOn w:val="a1"/>
    <w:next w:val="a1"/>
    <w:uiPriority w:val="39"/>
    <w:unhideWhenUsed/>
    <w:pPr>
      <w:spacing w:after="57"/>
      <w:ind w:left="283"/>
    </w:pPr>
  </w:style>
  <w:style w:type="paragraph" w:styleId="33">
    <w:name w:val="toc 3"/>
    <w:basedOn w:val="a1"/>
    <w:next w:val="a1"/>
    <w:uiPriority w:val="39"/>
    <w:unhideWhenUsed/>
    <w:pPr>
      <w:spacing w:after="57"/>
      <w:ind w:left="567"/>
    </w:p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3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1"/>
    <w:next w:val="a1"/>
    <w:uiPriority w:val="99"/>
    <w:unhideWhenUsed/>
  </w:style>
  <w:style w:type="paragraph" w:styleId="af3">
    <w:name w:val="header"/>
    <w:basedOn w:val="a1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</w:style>
  <w:style w:type="paragraph" w:styleId="af5">
    <w:name w:val="footer"/>
    <w:basedOn w:val="a1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uiPriority w:val="99"/>
  </w:style>
  <w:style w:type="paragraph" w:customStyle="1" w:styleId="-">
    <w:name w:val="- Маркированный"/>
    <w:basedOn w:val="a1"/>
    <w:next w:val="a1"/>
    <w:pPr>
      <w:numPr>
        <w:numId w:val="1"/>
      </w:numPr>
      <w:spacing w:before="80"/>
      <w:jc w:val="both"/>
    </w:pPr>
    <w:rPr>
      <w:sz w:val="28"/>
    </w:rPr>
  </w:style>
  <w:style w:type="paragraph" w:styleId="af7">
    <w:name w:val="footnote text"/>
    <w:basedOn w:val="a1"/>
    <w:link w:val="af8"/>
    <w:uiPriority w:val="99"/>
    <w:unhideWhenUsed/>
    <w:qFormat/>
    <w:rPr>
      <w:sz w:val="20"/>
      <w:szCs w:val="20"/>
    </w:rPr>
  </w:style>
  <w:style w:type="character" w:customStyle="1" w:styleId="af8">
    <w:name w:val="Текст сноски Знак"/>
    <w:basedOn w:val="a2"/>
    <w:link w:val="af7"/>
    <w:uiPriority w:val="99"/>
    <w:semiHidden/>
    <w:rPr>
      <w:sz w:val="20"/>
      <w:szCs w:val="20"/>
    </w:rPr>
  </w:style>
  <w:style w:type="character" w:styleId="af9">
    <w:name w:val="footnote reference"/>
    <w:uiPriority w:val="99"/>
    <w:rPr>
      <w:vertAlign w:val="superscript"/>
    </w:rPr>
  </w:style>
  <w:style w:type="table" w:styleId="afa">
    <w:name w:val="Table Grid"/>
    <w:basedOn w:val="a3"/>
    <w:uiPriority w:val="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List Paragraph"/>
    <w:basedOn w:val="a1"/>
    <w:link w:val="afc"/>
    <w:uiPriority w:val="34"/>
    <w:qFormat/>
    <w:pPr>
      <w:ind w:left="720"/>
      <w:contextualSpacing/>
    </w:pPr>
    <w:rPr>
      <w:rFonts w:ascii="Calibri" w:eastAsia="Calibri" w:hAnsi="Calibri"/>
    </w:rPr>
  </w:style>
  <w:style w:type="character" w:customStyle="1" w:styleId="afc">
    <w:name w:val="Абзац списка Знак"/>
    <w:link w:val="afb"/>
    <w:uiPriority w:val="34"/>
    <w:rPr>
      <w:rFonts w:ascii="Calibri" w:eastAsia="Calibri" w:hAnsi="Calibri" w:cs="Times New Roman"/>
    </w:rPr>
  </w:style>
  <w:style w:type="paragraph" w:styleId="afd">
    <w:name w:val="Normal (Web)"/>
    <w:basedOn w:val="a1"/>
    <w:pPr>
      <w:spacing w:before="100" w:beforeAutospacing="1" w:after="100" w:afterAutospacing="1"/>
    </w:pPr>
  </w:style>
  <w:style w:type="character" w:customStyle="1" w:styleId="11">
    <w:name w:val="Заголовок 1 Знак"/>
    <w:basedOn w:val="a2"/>
    <w:link w:val="1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0">
    <w:name w:val="ГС_Список_марк"/>
    <w:pPr>
      <w:numPr>
        <w:numId w:val="3"/>
      </w:numPr>
      <w:spacing w:after="6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e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">
    <w:name w:val="annotation text"/>
    <w:basedOn w:val="a1"/>
    <w:link w:val="aff0"/>
    <w:uiPriority w:val="99"/>
    <w:unhideWhenUsed/>
    <w:rPr>
      <w:sz w:val="20"/>
      <w:szCs w:val="20"/>
      <w:lang w:val="en-US" w:eastAsia="ar-SA"/>
    </w:rPr>
  </w:style>
  <w:style w:type="character" w:customStyle="1" w:styleId="aff0">
    <w:name w:val="Текст примечания Знак"/>
    <w:basedOn w:val="a2"/>
    <w:link w:val="aff"/>
    <w:uiPriority w:val="99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aff1">
    <w:name w:val="Основной_текст абзац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3.1"/>
    <w:basedOn w:val="a4"/>
    <w:pPr>
      <w:numPr>
        <w:numId w:val="4"/>
      </w:numPr>
    </w:pPr>
  </w:style>
  <w:style w:type="numbering" w:customStyle="1" w:styleId="313">
    <w:name w:val="3.1.3"/>
    <w:basedOn w:val="a4"/>
    <w:pPr>
      <w:numPr>
        <w:numId w:val="5"/>
      </w:numPr>
    </w:pPr>
  </w:style>
  <w:style w:type="numbering" w:customStyle="1" w:styleId="10">
    <w:name w:val="Текущий список1"/>
    <w:uiPriority w:val="99"/>
    <w:pPr>
      <w:numPr>
        <w:numId w:val="6"/>
      </w:numPr>
    </w:pPr>
  </w:style>
  <w:style w:type="numbering" w:customStyle="1" w:styleId="2">
    <w:name w:val="Текущий список2"/>
    <w:uiPriority w:val="99"/>
    <w:pPr>
      <w:numPr>
        <w:numId w:val="7"/>
      </w:numPr>
    </w:pPr>
  </w:style>
  <w:style w:type="numbering" w:customStyle="1" w:styleId="3">
    <w:name w:val="Текущий список3"/>
    <w:uiPriority w:val="99"/>
    <w:pPr>
      <w:numPr>
        <w:numId w:val="8"/>
      </w:numPr>
    </w:pPr>
  </w:style>
  <w:style w:type="numbering" w:customStyle="1" w:styleId="4">
    <w:name w:val="Текущий список4"/>
    <w:uiPriority w:val="99"/>
    <w:pPr>
      <w:numPr>
        <w:numId w:val="9"/>
      </w:numPr>
    </w:pPr>
  </w:style>
  <w:style w:type="numbering" w:customStyle="1" w:styleId="50">
    <w:name w:val="Текущий список5"/>
    <w:uiPriority w:val="99"/>
    <w:pPr>
      <w:numPr>
        <w:numId w:val="10"/>
      </w:numPr>
    </w:pPr>
  </w:style>
  <w:style w:type="paragraph" w:styleId="aff2">
    <w:name w:val="List"/>
    <w:basedOn w:val="a1"/>
    <w:uiPriority w:val="99"/>
    <w:unhideWhenUsed/>
    <w:pPr>
      <w:contextualSpacing/>
    </w:pPr>
    <w:rPr>
      <w:szCs w:val="20"/>
      <w:lang w:eastAsia="en-US"/>
    </w:rPr>
  </w:style>
  <w:style w:type="paragraph" w:customStyle="1" w:styleId="aff3">
    <w:name w:val="Пункт"/>
    <w:basedOn w:val="a1"/>
    <w:pPr>
      <w:widowControl w:val="0"/>
      <w:spacing w:before="180" w:after="120"/>
      <w:ind w:firstLine="709"/>
      <w:jc w:val="both"/>
    </w:pPr>
    <w:rPr>
      <w:szCs w:val="20"/>
      <w:lang w:eastAsia="ar-SA"/>
    </w:rPr>
  </w:style>
  <w:style w:type="numbering" w:customStyle="1" w:styleId="5">
    <w:name w:val="Стиль5"/>
    <w:uiPriority w:val="99"/>
    <w:pPr>
      <w:numPr>
        <w:numId w:val="13"/>
      </w:numPr>
    </w:pPr>
  </w:style>
  <w:style w:type="character" w:styleId="aff4">
    <w:name w:val="Hyperlink"/>
    <w:uiPriority w:val="99"/>
    <w:unhideWhenUsed/>
    <w:rPr>
      <w:color w:val="0000FF"/>
      <w:u w:val="single"/>
    </w:rPr>
  </w:style>
  <w:style w:type="character" w:customStyle="1" w:styleId="control-label-required">
    <w:name w:val="control-label-required"/>
    <w:basedOn w:val="a2"/>
  </w:style>
  <w:style w:type="character" w:customStyle="1" w:styleId="13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paragraph" w:styleId="aff5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subject"/>
    <w:basedOn w:val="aff"/>
    <w:next w:val="aff"/>
    <w:link w:val="aff7"/>
    <w:uiPriority w:val="99"/>
    <w:semiHidden/>
    <w:unhideWhenUsed/>
    <w:rPr>
      <w:b/>
      <w:bCs/>
      <w:lang w:val="ru-RU" w:eastAsia="ru-RU"/>
    </w:rPr>
  </w:style>
  <w:style w:type="character" w:customStyle="1" w:styleId="aff7">
    <w:name w:val="Тема примечания Знак"/>
    <w:basedOn w:val="aff0"/>
    <w:link w:val="aff6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ff8">
    <w:name w:val="Balloon Text"/>
    <w:basedOn w:val="a1"/>
    <w:link w:val="aff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2"/>
    <w:link w:val="aff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a">
    <w:name w:val="_Текст_Перечисление"/>
    <w:link w:val="affa"/>
    <w:uiPriority w:val="99"/>
    <w:pPr>
      <w:numPr>
        <w:numId w:val="15"/>
      </w:numPr>
      <w:tabs>
        <w:tab w:val="left" w:pos="964"/>
      </w:tabs>
      <w:spacing w:before="80" w:after="0" w:line="240" w:lineRule="auto"/>
      <w:jc w:val="both"/>
    </w:pPr>
    <w:rPr>
      <w:rFonts w:ascii="Arial" w:eastAsia="Times New Roman" w:hAnsi="Arial" w:cs="Times New Roman"/>
      <w:spacing w:val="-2"/>
      <w:sz w:val="24"/>
      <w:lang w:eastAsia="ru-RU"/>
    </w:rPr>
  </w:style>
  <w:style w:type="character" w:customStyle="1" w:styleId="affa">
    <w:name w:val="_Текст_Перечисление Знак"/>
    <w:link w:val="a"/>
    <w:uiPriority w:val="99"/>
    <w:rPr>
      <w:rFonts w:ascii="Arial" w:eastAsia="Times New Roman" w:hAnsi="Arial" w:cs="Times New Roman"/>
      <w:spacing w:val="-2"/>
      <w:sz w:val="24"/>
      <w:lang w:eastAsia="ru-RU"/>
    </w:rPr>
  </w:style>
  <w:style w:type="character" w:customStyle="1" w:styleId="affb">
    <w:name w:val="Символ сноски"/>
    <w:qFormat/>
    <w:rPr>
      <w:vertAlign w:val="superscript"/>
    </w:rPr>
  </w:style>
  <w:style w:type="character" w:customStyle="1" w:styleId="14">
    <w:name w:val="Текст сноски Знак1"/>
    <w:basedOn w:val="a2"/>
    <w:rPr>
      <w:rFonts w:ascii="Times New Roman" w:eastAsia="Times New Roman" w:hAnsi="Times New Roman" w:cs="Times New Roman"/>
      <w:sz w:val="20"/>
      <w:szCs w:val="2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tec.ru/mainnews/149-tekhnicheskaya-zashchita-informatsii/dokumenty/proekty/800-proekt-normativnogo-pravovogo-akta-fstek-rossi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115F9-14A3-4BC7-B93E-8BB1897DD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3165</Words>
  <Characters>18043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21166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Каретникова Елена Николаевна</dc:creator>
  <cp:lastModifiedBy>Саарик Александра Юрьевна</cp:lastModifiedBy>
  <cp:revision>5</cp:revision>
  <dcterms:created xsi:type="dcterms:W3CDTF">2026-02-26T12:09:00Z</dcterms:created>
  <dcterms:modified xsi:type="dcterms:W3CDTF">2026-04-13T12:23:00Z</dcterms:modified>
</cp:coreProperties>
</file>